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pStyle w:val="Style_3"/>
        <w:widowControl w:val="1"/>
        <w:spacing w:after="0" w:before="0" w:line="240" w:lineRule="auto"/>
        <w:ind w:firstLine="0" w:left="0" w:right="0"/>
        <w:jc w:val="left"/>
        <w:rPr>
          <w:rFonts w:ascii="PT Astra Serif" w:hAnsi="PT Astra Serif"/>
          <w:color w:val="000000"/>
          <w:sz w:val="28"/>
        </w:rPr>
      </w:pPr>
      <w:bookmarkStart w:id="1" w:name="_GoBack"/>
      <w:bookmarkEnd w:id="1"/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48"/>
        <w:gridCol w:w="4705"/>
      </w:tblGrid>
      <w:tr>
        <w:trPr>
          <w:trHeight w:hRule="atLeast" w:val="792"/>
        </w:trPr>
        <w:tc>
          <w:tcPr>
            <w:tcW w:type="dxa" w:w="464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pStyle w:val="Style_5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</w:p>
        </w:tc>
        <w:tc>
          <w:tcPr>
            <w:tcW w:type="dxa" w:w="4705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0A000000">
      <w:pPr>
        <w:pStyle w:val="Style_5"/>
        <w:widowControl w:val="1"/>
        <w:spacing w:after="0" w:before="0" w:line="240" w:lineRule="auto"/>
        <w:ind w:firstLine="4395" w:left="0" w:right="0"/>
        <w:rPr>
          <w:rFonts w:ascii="XO Thames" w:hAnsi="XO Thames"/>
          <w:sz w:val="24"/>
        </w:rPr>
      </w:pPr>
    </w:p>
    <w:p w14:paraId="0B000000">
      <w:pPr>
        <w:pStyle w:val="Style_5"/>
        <w:widowControl w:val="1"/>
        <w:spacing w:after="0" w:before="0" w:line="240" w:lineRule="auto"/>
        <w:ind/>
        <w:jc w:val="right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 xml:space="preserve"> </w:t>
      </w:r>
      <w:r>
        <w:rPr>
          <w:rFonts w:ascii="XO Thames" w:hAnsi="XO Thames"/>
          <w:b w:val="0"/>
          <w:sz w:val="24"/>
        </w:rPr>
        <w:t>ПРОЕКТ</w:t>
      </w:r>
    </w:p>
    <w:p w14:paraId="0C000000">
      <w:pPr>
        <w:pStyle w:val="Style_6"/>
        <w:widowControl w:val="1"/>
        <w:spacing w:after="0" w:before="0"/>
        <w:ind/>
        <w:jc w:val="center"/>
        <w:rPr>
          <w:b w:val="0"/>
        </w:rPr>
      </w:pPr>
      <w:r>
        <w:rPr>
          <w:b w:val="0"/>
        </w:rPr>
        <w:t>МАГНИТОГОРСКОЕ ГОРОДСКОЕ</w:t>
      </w:r>
    </w:p>
    <w:p w14:paraId="0D000000">
      <w:pPr>
        <w:pStyle w:val="Style_6"/>
        <w:widowControl w:val="1"/>
        <w:spacing w:after="0" w:before="0"/>
        <w:ind/>
        <w:jc w:val="center"/>
        <w:rPr>
          <w:b w:val="0"/>
        </w:rPr>
      </w:pPr>
      <w:r>
        <w:rPr>
          <w:b w:val="0"/>
        </w:rPr>
        <w:t>СОБРАНИЕ ДЕПУТАТОВ</w:t>
      </w:r>
    </w:p>
    <w:p w14:paraId="0E000000">
      <w:pPr>
        <w:pStyle w:val="Style_6"/>
        <w:widowControl w:val="1"/>
        <w:spacing w:after="0" w:before="0"/>
        <w:ind/>
        <w:jc w:val="center"/>
        <w:rPr>
          <w:b w:val="0"/>
        </w:rPr>
      </w:pPr>
    </w:p>
    <w:p w14:paraId="0F000000">
      <w:pPr>
        <w:pStyle w:val="Style_6"/>
        <w:widowControl w:val="1"/>
        <w:spacing w:after="0" w:before="0"/>
        <w:ind/>
        <w:jc w:val="center"/>
        <w:rPr>
          <w:b w:val="1"/>
        </w:rPr>
      </w:pPr>
      <w:r>
        <w:rPr>
          <w:b w:val="1"/>
        </w:rPr>
        <w:t>РЕШЕНИЕ</w:t>
      </w:r>
    </w:p>
    <w:p w14:paraId="10000000">
      <w:pPr>
        <w:pStyle w:val="Style_6"/>
        <w:widowControl w:val="1"/>
        <w:spacing w:after="0" w:before="0"/>
        <w:ind/>
        <w:jc w:val="center"/>
        <w:rPr>
          <w:b w:val="1"/>
        </w:rPr>
      </w:pPr>
    </w:p>
    <w:p w14:paraId="11000000">
      <w:pPr>
        <w:pStyle w:val="Style_6"/>
        <w:widowControl w:val="1"/>
        <w:spacing w:after="0" w:before="0"/>
        <w:ind/>
        <w:jc w:val="both"/>
      </w:pPr>
      <w:r>
        <w:t>__________________                                                                                                   __________</w:t>
      </w:r>
    </w:p>
    <w:p w14:paraId="12000000">
      <w:pPr>
        <w:pStyle w:val="Style_6"/>
        <w:widowControl w:val="1"/>
        <w:spacing w:after="0" w:before="0"/>
        <w:ind/>
        <w:jc w:val="center"/>
      </w:pPr>
    </w:p>
    <w:p w14:paraId="13000000">
      <w:pPr>
        <w:pStyle w:val="Style_6"/>
        <w:widowControl w:val="1"/>
        <w:spacing w:after="0" w:before="0"/>
        <w:ind/>
        <w:jc w:val="both"/>
      </w:pPr>
      <w:r>
        <w:t>О внесении изменений в Правила благоустройства</w:t>
      </w:r>
    </w:p>
    <w:p w14:paraId="14000000">
      <w:pPr>
        <w:pStyle w:val="Style_6"/>
        <w:widowControl w:val="1"/>
        <w:spacing w:after="0" w:before="0"/>
        <w:ind/>
        <w:jc w:val="both"/>
      </w:pPr>
      <w:r>
        <w:t>территории города Магнитогорска, утвержденные</w:t>
      </w:r>
    </w:p>
    <w:p w14:paraId="15000000">
      <w:pPr>
        <w:pStyle w:val="Style_6"/>
        <w:widowControl w:val="1"/>
        <w:spacing w:after="0" w:before="0"/>
        <w:ind/>
        <w:jc w:val="both"/>
      </w:pPr>
      <w:r>
        <w:t>Решением Магнитогорского городского Собрания депутатов</w:t>
      </w:r>
    </w:p>
    <w:p w14:paraId="16000000">
      <w:pPr>
        <w:pStyle w:val="Style_6"/>
        <w:widowControl w:val="1"/>
        <w:spacing w:after="0" w:before="0"/>
        <w:ind/>
        <w:jc w:val="both"/>
      </w:pPr>
      <w:r>
        <w:t xml:space="preserve">от 31 октября 2017 года №146 </w:t>
      </w:r>
    </w:p>
    <w:p w14:paraId="17000000">
      <w:pPr>
        <w:pStyle w:val="Style_6"/>
        <w:widowControl w:val="1"/>
        <w:spacing w:after="0" w:before="0"/>
        <w:ind/>
        <w:jc w:val="both"/>
        <w:rPr>
          <w:color w:val="22272F"/>
        </w:rPr>
      </w:pPr>
    </w:p>
    <w:p w14:paraId="18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 xml:space="preserve">В соответствии с Федеральным законом от 20 марта 2025 года Nº33-Ф3 «Об общих принципах организации местного самоуправления в единой системе публичной власти», Уставом города Магнитогорска, рассмотрев результаты общественных обсуждений </w:t>
      </w:r>
      <w:r>
        <w:rPr>
          <w:color w:val="000000"/>
        </w:rPr>
        <w:br/>
      </w:r>
      <w:r>
        <w:rPr>
          <w:color w:val="000000"/>
        </w:rPr>
        <w:t>по проекту Решения Магнитогорского городского Собрания депутатов «О внесении изменений в Правила благоустройства территории города Магнитогорска, утвержденные Решением Магнитогорского городского Собрания депутатов от 31 октября 2017 года Nº146», результаты публичных консультаций, проведенных в соответствии с Порядком проведения оценки регулирующего воздействия проектов нормативных правовых актов города Магнитогорска, утвержденным Решением Магнитогорского городского Собрания депутатов от 28 июня 2016 года Nº89, Магнитогорское городское Собрание депутатов</w:t>
      </w:r>
    </w:p>
    <w:p w14:paraId="19000000">
      <w:pPr>
        <w:pStyle w:val="Style_3"/>
        <w:widowControl w:val="1"/>
        <w:spacing w:after="0" w:before="0"/>
        <w:ind w:firstLine="709" w:left="0"/>
        <w:jc w:val="both"/>
      </w:pPr>
    </w:p>
    <w:p w14:paraId="1A000000">
      <w:pPr>
        <w:pStyle w:val="Style_3"/>
        <w:widowControl w:val="1"/>
        <w:spacing w:after="0" w:before="0"/>
        <w:ind w:firstLine="0" w:left="0"/>
        <w:jc w:val="both"/>
      </w:pPr>
      <w:r>
        <w:t>РЕШАЕТ:</w:t>
      </w:r>
    </w:p>
    <w:p w14:paraId="1B000000">
      <w:pPr>
        <w:pStyle w:val="Style_3"/>
        <w:widowControl w:val="1"/>
        <w:spacing w:after="0" w:before="0"/>
        <w:ind w:firstLine="709" w:left="0" w:right="0"/>
        <w:jc w:val="both"/>
      </w:pPr>
      <w:r>
        <w:t>1. Внести в Правила благоустройства территории города Магнитогорска, утвержденные Решением Магнитогорского городского Собрания депутатов от 31 октября 2017 года №146, следующие изменения:</w:t>
      </w:r>
    </w:p>
    <w:p w14:paraId="1C000000">
      <w:pPr>
        <w:pStyle w:val="Style_3"/>
        <w:widowControl w:val="1"/>
        <w:spacing w:after="0" w:before="0"/>
        <w:ind w:firstLine="709" w:left="0" w:right="0"/>
        <w:jc w:val="both"/>
      </w:pPr>
      <w:r>
        <w:t>1) абзац двенадцатый пункта 2 изложить в новой редакции:</w:t>
      </w:r>
    </w:p>
    <w:p w14:paraId="1D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«малые архитектурные формы - искусственные элементы городской и садово - парковой среды (беседки, ротонды, перголы, трельяжи, арки, ограды, навесы, скамьи, урны</w:t>
      </w:r>
      <w:r>
        <w:rPr>
          <w:rStyle w:val="Style_3_ch"/>
          <w:color w:val="000000"/>
        </w:rPr>
        <w:t>, уличная и парковая мебель, элементы монументально-декоративного оформления, скульптуры из растений, цветники и газоны, вазоны для цветов, устройства для оформ</w:t>
      </w:r>
      <w:r>
        <w:rPr>
          <w:rStyle w:val="Style_3_ch"/>
          <w:color w:val="000000"/>
        </w:rPr>
        <w:t xml:space="preserve">ления различных видов озеленения, водные устройства, оборудование детских </w:t>
      </w:r>
      <w:r>
        <w:rPr>
          <w:rStyle w:val="Style_3_ch"/>
          <w:color w:val="000000"/>
        </w:rPr>
        <w:br/>
      </w:r>
      <w:r>
        <w:rPr>
          <w:rStyle w:val="Style_3_ch"/>
          <w:color w:val="000000"/>
        </w:rPr>
        <w:t xml:space="preserve">и спортивных площадок, осветительное оборудование, афишные тумбы </w:t>
      </w:r>
      <w:r>
        <w:rPr>
          <w:rStyle w:val="Style_3_ch"/>
          <w:color w:val="000000"/>
        </w:rPr>
        <w:br/>
      </w:r>
      <w:r>
        <w:rPr>
          <w:rStyle w:val="Style_3_ch"/>
          <w:color w:val="000000"/>
        </w:rPr>
        <w:t>и информационные щиты, светильники наружного освещения, площадки для хозяйственных нужд и другие), используемые для организации открытых пространств»;</w:t>
      </w:r>
    </w:p>
    <w:p w14:paraId="1E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rStyle w:val="Style_3_ch"/>
          <w:color w:val="000000"/>
        </w:rPr>
        <w:t>2)</w:t>
      </w:r>
      <w:r>
        <w:rPr>
          <w:rStyle w:val="Style_3_ch"/>
          <w:color w:val="000000"/>
        </w:rPr>
        <w:t xml:space="preserve"> пункт 2 </w:t>
      </w:r>
      <w:r>
        <w:rPr>
          <w:rStyle w:val="Style_3_ch"/>
          <w:color w:val="000000"/>
        </w:rPr>
        <w:t>дополнить абзацем пятым</w:t>
      </w:r>
      <w:r>
        <w:rPr>
          <w:rStyle w:val="Style_3_ch"/>
          <w:color w:val="000000"/>
        </w:rPr>
        <w:t xml:space="preserve"> следующего содержания</w:t>
      </w:r>
      <w:r>
        <w:rPr>
          <w:rStyle w:val="Style_3_ch"/>
          <w:color w:val="000000"/>
        </w:rPr>
        <w:t>:</w:t>
      </w:r>
    </w:p>
    <w:p w14:paraId="1F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rStyle w:val="Style_3_ch"/>
          <w:color w:val="000000"/>
        </w:rPr>
        <w:t>«</w:t>
      </w:r>
      <w:r>
        <w:rPr>
          <w:rStyle w:val="Style_3_ch"/>
          <w:color w:val="000000"/>
        </w:rPr>
        <w:t>входная группа - часть здания, строения, сооружения, обеспечивающая доступ в помещения, включающая в том числе площадку, ступени, ограждения, средства обеспечения доступности для маломобильных групп населения и другое;»;</w:t>
      </w:r>
    </w:p>
    <w:p w14:paraId="20000000">
      <w:pPr>
        <w:pStyle w:val="Style_3"/>
        <w:widowControl w:val="1"/>
        <w:spacing w:after="0" w:before="0"/>
        <w:ind w:firstLine="709" w:left="0" w:right="0"/>
        <w:jc w:val="both"/>
      </w:pPr>
      <w:r>
        <w:t>3) подпункт</w:t>
      </w:r>
      <w:r>
        <w:rPr>
          <w:color w:val="000000"/>
        </w:rPr>
        <w:t xml:space="preserve"> 5 пункта 7 дополнить абзацем следующего содержания:</w:t>
      </w:r>
    </w:p>
    <w:p w14:paraId="21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«территории ведения гражданами садоводства и огородничества для собственных нужд,— 30 метров по периметру от границ земельного участка.»;</w:t>
      </w:r>
    </w:p>
    <w:p w14:paraId="22000000">
      <w:pPr>
        <w:pStyle w:val="Style_3"/>
        <w:widowControl w:val="1"/>
        <w:spacing w:after="0" w:before="0"/>
        <w:ind w:firstLine="709" w:left="0" w:right="0"/>
        <w:jc w:val="both"/>
      </w:pPr>
      <w:r>
        <w:t xml:space="preserve">4) </w:t>
      </w:r>
      <w:r>
        <w:rPr>
          <w:color w:val="000000"/>
        </w:rPr>
        <w:t>пункт 49-2 изложить в следующей редакции:</w:t>
      </w:r>
    </w:p>
    <w:p w14:paraId="23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 xml:space="preserve">«49-2. Владельцы СИМ обязаны принимать меры по освобождению территории общего пользования от СИМ, оставленных в местах, в которых размещение СИМ не допускается. Срок освобождения территории общего пользования от СИМ составляет не более 2 часов </w:t>
      </w:r>
      <w:r>
        <w:rPr>
          <w:color w:val="000000"/>
        </w:rPr>
        <w:t>с момента их обнаружения уполномоченными лицами.</w:t>
      </w:r>
    </w:p>
    <w:p w14:paraId="24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</w:rPr>
        <w:t xml:space="preserve">В случае непринятия владельцами СИМ мер, предусмотренных настоящим пунктом, администрация города принимает меры по освобождению территории общего пользования от СИМ </w:t>
      </w:r>
      <w:r>
        <w:rPr>
          <w:rStyle w:val="Style_7_ch"/>
          <w:i w:val="0"/>
          <w:color w:val="000000"/>
        </w:rPr>
        <w:t>в порядке, установленном нормативным правовым актом администрации города.»</w:t>
      </w:r>
      <w:r>
        <w:rPr>
          <w:rStyle w:val="Style_7_ch"/>
          <w:i w:val="0"/>
          <w:color w:val="000000"/>
          <w:sz w:val="24"/>
        </w:rPr>
        <w:t>;</w:t>
      </w:r>
    </w:p>
    <w:p w14:paraId="25000000">
      <w:pPr>
        <w:pStyle w:val="Style_5"/>
        <w:widowControl w:val="1"/>
        <w:spacing w:after="0" w:before="0" w:line="240" w:lineRule="auto"/>
        <w:ind w:firstLine="709" w:left="0" w:right="0"/>
        <w:jc w:val="both"/>
      </w:pPr>
      <w:r>
        <w:rPr>
          <w:rFonts w:ascii="Times New Roman" w:hAnsi="Times New Roman"/>
          <w:sz w:val="24"/>
        </w:rPr>
        <w:t>5) в  пункт</w:t>
      </w:r>
      <w:r>
        <w:rPr>
          <w:rFonts w:ascii="Times New Roman" w:hAnsi="Times New Roman"/>
          <w:color w:val="000000"/>
          <w:sz w:val="24"/>
        </w:rPr>
        <w:t>е 63:</w:t>
      </w:r>
    </w:p>
    <w:p w14:paraId="26000000">
      <w:pPr>
        <w:pStyle w:val="Style_5"/>
        <w:widowControl w:val="1"/>
        <w:spacing w:after="0" w:before="0" w:line="240" w:lineRule="auto"/>
        <w:ind w:firstLine="709" w:left="0" w:right="0"/>
        <w:jc w:val="both"/>
      </w:pPr>
      <w:r>
        <w:rPr>
          <w:rFonts w:ascii="Times New Roman" w:hAnsi="Times New Roman"/>
          <w:sz w:val="24"/>
        </w:rPr>
        <w:t xml:space="preserve"> подпункт 5</w:t>
      </w:r>
      <w:r>
        <w:rPr>
          <w:rFonts w:ascii="Times New Roman" w:hAnsi="Times New Roman"/>
          <w:color w:val="000000"/>
          <w:sz w:val="24"/>
        </w:rPr>
        <w:t xml:space="preserve"> изложить в следующей редакции:</w:t>
      </w:r>
    </w:p>
    <w:p w14:paraId="27000000">
      <w:pPr>
        <w:pStyle w:val="Style_5"/>
        <w:widowControl w:val="1"/>
        <w:spacing w:after="0" w:before="0" w:line="240" w:lineRule="auto"/>
        <w:ind w:firstLine="709" w:left="0" w:right="0"/>
        <w:jc w:val="both"/>
      </w:pPr>
      <w:r>
        <w:rPr>
          <w:rFonts w:ascii="Times New Roman" w:hAnsi="Times New Roman"/>
          <w:color w:val="000000"/>
          <w:sz w:val="24"/>
        </w:rPr>
        <w:t>после слов «механических транспортных средств» дополнить словами «и (или) прицепов к ним»;</w:t>
      </w:r>
    </w:p>
    <w:p w14:paraId="28000000">
      <w:pPr>
        <w:pStyle w:val="Style_5"/>
        <w:widowControl w:val="1"/>
        <w:spacing w:after="0" w:before="0" w:line="240" w:lineRule="auto"/>
        <w:ind w:firstLine="709" w:left="0" w:right="0"/>
        <w:jc w:val="both"/>
      </w:pPr>
      <w:r>
        <w:rPr>
          <w:rFonts w:ascii="Times New Roman" w:hAnsi="Times New Roman"/>
          <w:color w:val="000000"/>
          <w:sz w:val="24"/>
        </w:rPr>
        <w:t>подпункт 5-1  изложить в следующей редакции:</w:t>
      </w:r>
    </w:p>
    <w:p w14:paraId="29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«5-1) оставление и размещение велосипедов, СИМ (за исключением специально оборудованных для этих целей мест в соответствии с требованиями законодательства или земель общего пользования транспортного назначения, занимаемых улично-дорожной сетью, дорожное движение по которым регламентируется Правилами дорожного движения Российской Федерации, утвержденными постановлением Правительства Российской Федерации от 23 октября 1993 года № 1090):</w:t>
      </w:r>
    </w:p>
    <w:p w14:paraId="2A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 xml:space="preserve"> пешеходных дорожках, площадках, если ширина прохода составляет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менее 2 метров;</w:t>
      </w:r>
    </w:p>
    <w:p w14:paraId="2B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территории памятников, монументов, мемориальных сооружений, а также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радиусе менее 25 метров от указанных объектов;</w:t>
      </w:r>
    </w:p>
    <w:p w14:paraId="2C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расстоянии менее 10 метров от входных групп организаций образования, здравоохранения, социальной защиты населения, культуры, физической культуры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спорта, а также в границах земельных участков, занимаемых указанными организациями;</w:t>
      </w:r>
    </w:p>
    <w:p w14:paraId="2D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расстоянии менее 10 метров от входных групп в здания (помещения), занимаемые органами государственной власти и органами местного самоуправления, а также в границах земельных участков, занимаемых указанными зданиями;</w:t>
      </w:r>
    </w:p>
    <w:p w14:paraId="2E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расстоянии менее 10 метров от входных групп торговых и торгово-развлекательных комплексов (центров), магазинов, иных объектов коммерческого назначения, расположенных как в отдельно стоящих зданиях, так и в многоквартирных домах;</w:t>
      </w:r>
    </w:p>
    <w:p w14:paraId="2F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арках зданий, на газонах, озелененных территориях, детских и спортивных площадках;</w:t>
      </w:r>
    </w:p>
    <w:p w14:paraId="30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местах проведения работ по строительству, реконструкции, капитальному ремонту, проведения земляных работ, работ по благоустройству территории;</w:t>
      </w:r>
    </w:p>
    <w:p w14:paraId="31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местах проведения массовых мероприятий;</w:t>
      </w:r>
    </w:p>
    <w:p w14:paraId="32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территории земельных участков, занимаемых парками (скверами), включенными в перечень парков и скверов, на территории которых запрещается передвижение на СИМ, утвержденный нормативным правовым актом администрации города, а также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на расстоянии 30 метров от границ земельных участков, занимаемых такими парками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скверами;</w:t>
      </w:r>
    </w:p>
    <w:p w14:paraId="33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территориях, в отношении которых </w:t>
      </w:r>
      <w:r>
        <w:rPr>
          <w:rFonts w:ascii="Times New Roman" w:hAnsi="Times New Roman"/>
          <w:sz w:val="24"/>
        </w:rPr>
        <w:t xml:space="preserve">нормативным правовым актом администрации города </w:t>
      </w:r>
      <w:r>
        <w:rPr>
          <w:rFonts w:ascii="Times New Roman" w:hAnsi="Times New Roman"/>
          <w:sz w:val="24"/>
        </w:rPr>
        <w:t>утверждены</w:t>
      </w:r>
      <w:r>
        <w:rPr>
          <w:rFonts w:ascii="Times New Roman" w:hAnsi="Times New Roman"/>
          <w:sz w:val="24"/>
        </w:rPr>
        <w:t xml:space="preserve"> схемы запрета размещения СИМ. »;</w:t>
      </w:r>
    </w:p>
    <w:p w14:paraId="34000000">
      <w:pPr>
        <w:pStyle w:val="Style_5"/>
        <w:widowControl w:val="1"/>
        <w:spacing w:after="0" w:before="0" w:line="240" w:lineRule="auto"/>
        <w:ind w:firstLine="709" w:left="0" w:right="0"/>
        <w:jc w:val="both"/>
      </w:pPr>
      <w:r>
        <w:rPr>
          <w:rFonts w:ascii="Times New Roman" w:hAnsi="Times New Roman"/>
          <w:sz w:val="24"/>
          <w:highlight w:val="white"/>
        </w:rPr>
        <w:t xml:space="preserve">6) </w:t>
      </w:r>
      <w:r>
        <w:rPr>
          <w:rFonts w:ascii="Times New Roman" w:hAnsi="Times New Roman"/>
          <w:color w:val="000000"/>
          <w:sz w:val="24"/>
        </w:rPr>
        <w:t>дополнить пункт 136 абзацем вторым следующего содержания:</w:t>
      </w:r>
    </w:p>
    <w:p w14:paraId="35000000">
      <w:pPr>
        <w:pStyle w:val="Style_5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«При проведении работ по строительству, реконструкции, сносу, капитальному ремонту объектов капитального строительства, необходимых для оказания содействия Вооруженным Силам Российской Федерации в решении задач по пресечению угроз воздушного нападения на территорию Российской Федерации, оформление ордера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на производство земляных работ не осуществляется.»;</w:t>
      </w:r>
    </w:p>
    <w:p w14:paraId="36000000">
      <w:pPr>
        <w:pStyle w:val="Style_3"/>
        <w:widowControl w:val="1"/>
        <w:spacing w:after="0" w:before="0"/>
        <w:ind w:firstLine="709" w:left="0" w:right="0"/>
        <w:jc w:val="both"/>
      </w:pPr>
      <w:r>
        <w:t xml:space="preserve">7) </w:t>
      </w:r>
      <w:r>
        <w:rPr>
          <w:color w:val="000000"/>
          <w:sz w:val="24"/>
        </w:rPr>
        <w:t>пункт 139 изложить в следующей редакции:</w:t>
      </w:r>
    </w:p>
    <w:p w14:paraId="37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«139. Строительство, реконструкция, ремонт, демонтаж инженерных коммуникаций и других линейных объектов, расположенных на земельных участках, предоставленных физическим или юридическим лицам на праве собственности, на земельных участках общего назначения в составе территории ведения гражданами садоводства и огородничества для собственных нужд, за исключением земельных участков, обремененных сервитутом, осуществляются без оформления ордера на производство земляных работ, но с соблюдением Правил, градостроительных регламентов, строительных, экологических, санитарных, гигиенических норм и правил, Правил противопожарного режима в Российской Федерации и иных требований, установленных нормативными правовыми актами.»;</w:t>
      </w:r>
    </w:p>
    <w:p w14:paraId="38000000">
      <w:pPr>
        <w:pStyle w:val="Style_3"/>
        <w:widowControl w:val="1"/>
        <w:spacing w:after="0" w:before="0"/>
        <w:ind w:firstLine="709" w:left="0" w:right="0"/>
        <w:jc w:val="both"/>
      </w:pPr>
      <w:r>
        <w:t>8)</w:t>
      </w:r>
      <w:r>
        <w:rPr>
          <w:color w:val="000000"/>
          <w:sz w:val="24"/>
        </w:rPr>
        <w:t xml:space="preserve"> подпункт 8 пункта 166 </w:t>
      </w:r>
      <w:r>
        <w:rPr>
          <w:color w:val="000000"/>
        </w:rPr>
        <w:t>после слов «механические транспортные средства» дополнить словами «и (или) прицепы к ним»;</w:t>
      </w:r>
    </w:p>
    <w:p w14:paraId="39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  <w:sz w:val="24"/>
        </w:rPr>
        <w:t>9) подпункт 6 пункта 169 изложить в следующей редакции:</w:t>
      </w:r>
    </w:p>
    <w:p w14:paraId="3A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«6) при укладке дорожных покрытий, тротуаров вокруг зеленых насаждений сохранять приствольную грунтовую зону размером не менее 1,2 х 1,2 метра;»</w:t>
      </w:r>
    </w:p>
    <w:p w14:paraId="3B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  <w:sz w:val="24"/>
        </w:rPr>
        <w:t>10) в</w:t>
      </w:r>
      <w:r>
        <w:rPr>
          <w:color w:val="000000"/>
        </w:rPr>
        <w:t xml:space="preserve"> пункте 172:</w:t>
      </w:r>
    </w:p>
    <w:p w14:paraId="3C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</w:rPr>
        <w:t>в</w:t>
      </w:r>
      <w:r>
        <w:rPr>
          <w:color w:val="000000"/>
          <w:sz w:val="24"/>
        </w:rPr>
        <w:t> абзаце первом</w:t>
      </w:r>
      <w:r>
        <w:rPr>
          <w:color w:val="000000"/>
        </w:rPr>
        <w:t xml:space="preserve"> слова «абзацем третьим, четвертым» заменить словами «абзацами третьим, четвертым, пятым»;</w:t>
      </w:r>
    </w:p>
    <w:p w14:paraId="3D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абзац третий изложить в следующей редакции:</w:t>
      </w:r>
    </w:p>
    <w:p w14:paraId="3E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 xml:space="preserve">«Для сноса, обрезки зеленых насаждений, связанных с ликвидацией чрезвычайных и аварийных ситуаций, возникновением угрозы причинения вреда, обеспечением зоны видимости дорожных знаков, с производством земляных работ, осуществляемых </w:t>
      </w:r>
      <w:r>
        <w:rPr>
          <w:color w:val="000000"/>
        </w:rPr>
        <w:br/>
      </w:r>
      <w:r>
        <w:rPr>
          <w:color w:val="000000"/>
        </w:rPr>
        <w:t xml:space="preserve">на основании ордера, проведением работ на территории кладбищ и на земельных участках общего назначения в составе территории ведения гражданами садоводства </w:t>
      </w:r>
      <w:r>
        <w:rPr>
          <w:color w:val="000000"/>
        </w:rPr>
        <w:br/>
      </w:r>
      <w:r>
        <w:rPr>
          <w:color w:val="000000"/>
        </w:rPr>
        <w:t>и огородничества для собственных нужд, а также проведением формовочной обрезки кустарника, удалением порослевых побегов на стволах и в прикорневой зоне деревьев, разрешение не требуется.»;</w:t>
      </w:r>
    </w:p>
    <w:p w14:paraId="3F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дополнить абзацем пятым следующего содержания:</w:t>
      </w:r>
    </w:p>
    <w:p w14:paraId="40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«При проведении работ по строительству, реконструкции, сносу, капитальному ремонту объектов капитального строительства, необходимых для оказания содействия Вооруженным Силам Российской Федерации в решении задач по пресечению угроз воздушного нападения на территорию Российской Федерации, оформление разрешения не осуществляется.»;</w:t>
      </w:r>
    </w:p>
    <w:p w14:paraId="41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11) в</w:t>
      </w:r>
      <w:r>
        <w:rPr>
          <w:color w:val="000000"/>
          <w:sz w:val="24"/>
        </w:rPr>
        <w:t xml:space="preserve"> подпункте первом пункта 173</w:t>
      </w:r>
      <w:r>
        <w:rPr>
          <w:color w:val="000000"/>
          <w:sz w:val="24"/>
        </w:rPr>
        <w:t> слова «абзацем третьим, четвертым» заменить словами «абзацами третьим, четвертым, пятым»;</w:t>
      </w:r>
    </w:p>
    <w:p w14:paraId="42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</w:rPr>
        <w:t>12) подпункт 3 пункта 181 изложить в следующей редакции:</w:t>
      </w:r>
    </w:p>
    <w:p w14:paraId="43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«3) сносе зеленых насаждений в случаях:</w:t>
      </w:r>
    </w:p>
    <w:p w14:paraId="44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проведения работ, финансируемых из бюджета города, областного или федерального бюджетов и предусматривающих снос зеленых насаждений;</w:t>
      </w:r>
    </w:p>
    <w:p w14:paraId="45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 xml:space="preserve">проведения вырубки самосева и поросли деревьев диаметром менее </w:t>
      </w:r>
      <w:r>
        <w:rPr>
          <w:color w:val="000000"/>
        </w:rPr>
        <w:br/>
      </w:r>
      <w:r>
        <w:rPr>
          <w:color w:val="000000"/>
        </w:rPr>
        <w:t>12 сантиметров;</w:t>
      </w:r>
    </w:p>
    <w:p w14:paraId="46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 xml:space="preserve">возникновения стихийных бедствий, чрезвычайных ситуаций природного </w:t>
      </w:r>
      <w:r>
        <w:rPr>
          <w:color w:val="000000"/>
        </w:rPr>
        <w:br/>
      </w:r>
      <w:r>
        <w:rPr>
          <w:color w:val="000000"/>
        </w:rPr>
        <w:t>и техногенного характера;</w:t>
      </w:r>
    </w:p>
    <w:p w14:paraId="47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 xml:space="preserve">обеспечения надлежащей эксплуатации объектов инженерной инфраструктуры </w:t>
      </w:r>
      <w:r>
        <w:rPr>
          <w:color w:val="000000"/>
        </w:rPr>
        <w:br/>
      </w:r>
      <w:r>
        <w:rPr>
          <w:color w:val="000000"/>
        </w:rPr>
        <w:t>в соответствии с установленными нормативными правовыми актами требованиями;</w:t>
      </w:r>
    </w:p>
    <w:p w14:paraId="48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проведения работ на территории кладбищ, на земельных участках общего назначения в составе территории ведения гражданами садоводства и огородничества для собственных нужд;</w:t>
      </w:r>
    </w:p>
    <w:p w14:paraId="49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проведения работ по строительству, реконструкции, сносу, капитальному ремонту объектов капитального строительства, необходимых для оказания содействия Вооруженным Силам Российской Федерации в решении задач по пресечению угроз воздушного нападения на территорию Российской Федерации.»;</w:t>
      </w:r>
    </w:p>
    <w:p w14:paraId="4A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</w:rPr>
        <w:t xml:space="preserve">13) в приложении №2: </w:t>
      </w:r>
    </w:p>
    <w:p w14:paraId="4B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в строке 7 таблицы №4 слова «малоценных видов» исключить;</w:t>
      </w:r>
    </w:p>
    <w:p w14:paraId="4C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примечание изложить в следующей редакции:</w:t>
      </w:r>
    </w:p>
    <w:p w14:paraId="4D000000">
      <w:pPr>
        <w:pStyle w:val="Style_3"/>
        <w:widowControl w:val="1"/>
        <w:spacing w:after="0" w:before="0"/>
        <w:ind w:firstLine="709" w:left="0" w:right="0"/>
        <w:jc w:val="both"/>
        <w:rPr>
          <w:color w:val="000000"/>
        </w:rPr>
      </w:pPr>
      <w:r>
        <w:rPr>
          <w:color w:val="000000"/>
        </w:rPr>
        <w:t>«Примечание: 1) В случае, если у дерева ствол раздвоен на низовой высоте (ниже 1,3 м) на два и более ствола, стволы измеряют и оценивают отдельно (то есть как отдельные деревья);</w:t>
      </w:r>
    </w:p>
    <w:p w14:paraId="4E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</w:rPr>
        <w:t>2) В случае незаконного сноса дерева, диаметр дерева определяется по диаметру пня.»</w:t>
      </w:r>
      <w:r>
        <w:rPr>
          <w:color w:val="000000"/>
        </w:rPr>
        <w:t>.</w:t>
      </w:r>
    </w:p>
    <w:p w14:paraId="4F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  <w:sz w:val="24"/>
        </w:rPr>
        <w:t>2. Настоящее Решение вступает в силу после его официального опубликования, за исключением положений, для которых настоящим пунктом установлен иной срок вступления их в силу.</w:t>
      </w:r>
    </w:p>
    <w:p w14:paraId="50000000">
      <w:pPr>
        <w:pStyle w:val="Style_3"/>
        <w:widowControl w:val="1"/>
        <w:spacing w:after="0" w:before="0"/>
        <w:ind w:firstLine="709" w:left="0" w:right="0"/>
        <w:jc w:val="both"/>
      </w:pPr>
      <w:r>
        <w:rPr>
          <w:color w:val="000000"/>
          <w:sz w:val="24"/>
        </w:rPr>
        <w:t xml:space="preserve">Подпункты 3, 4, 5, 8, 9, </w:t>
      </w:r>
      <w:r>
        <w:rPr>
          <w:color w:val="000000"/>
          <w:sz w:val="24"/>
        </w:rPr>
        <w:t>13 пункта 1 настоящего Решения вступают в силу с 1 декабря 2026 года и действуют до 1 декабря 2032 года.</w:t>
      </w:r>
    </w:p>
    <w:p w14:paraId="51000000">
      <w:pPr>
        <w:pStyle w:val="Style_5"/>
        <w:widowControl w:val="1"/>
        <w:spacing w:after="0" w:before="0" w:line="240" w:lineRule="auto"/>
        <w:ind w:firstLine="709" w:left="0"/>
        <w:jc w:val="both"/>
      </w:pPr>
      <w:r>
        <w:rPr>
          <w:rFonts w:ascii="Times New Roman" w:hAnsi="Times New Roman"/>
          <w:sz w:val="24"/>
        </w:rPr>
        <w:t xml:space="preserve">3. Контроль исполнения настоящего Решения возложить на председателя Магнитогорского городского Собрания депутатов А.О. Морозова, Главу города Магнитогорска С.Н. Бердникова, председателя </w:t>
      </w:r>
      <w:r>
        <w:rPr>
          <w:rFonts w:ascii="Times New Roman" w:hAnsi="Times New Roman"/>
          <w:sz w:val="24"/>
          <w:highlight w:val="white"/>
        </w:rPr>
        <w:t>Контрольно-счетной палаты города Магнитогорска В.А. Корсакова.</w:t>
      </w:r>
    </w:p>
    <w:p w14:paraId="52000000">
      <w:pPr>
        <w:pStyle w:val="Style_5"/>
        <w:widowControl w:val="1"/>
        <w:spacing w:after="0" w:before="0" w:line="240" w:lineRule="auto"/>
        <w:ind/>
        <w:rPr>
          <w:rFonts w:ascii="Times New Roman" w:hAnsi="Times New Roman"/>
          <w:sz w:val="24"/>
        </w:rPr>
      </w:pPr>
    </w:p>
    <w:p w14:paraId="53000000">
      <w:pPr>
        <w:pStyle w:val="Style_5"/>
        <w:widowControl w:val="1"/>
        <w:spacing w:after="0" w:before="0" w:line="240" w:lineRule="auto"/>
        <w:ind/>
        <w:rPr>
          <w:rFonts w:ascii="Times New Roman" w:hAnsi="Times New Roman"/>
          <w:sz w:val="24"/>
        </w:rPr>
      </w:pPr>
    </w:p>
    <w:p w14:paraId="54000000">
      <w:pPr>
        <w:pStyle w:val="Style_5"/>
        <w:widowControl w:val="1"/>
        <w:spacing w:after="0" w:before="0" w:line="240" w:lineRule="auto"/>
        <w:ind/>
        <w:rPr>
          <w:rFonts w:ascii="Times New Roman" w:hAnsi="Times New Roman"/>
          <w:sz w:val="24"/>
        </w:rPr>
      </w:pPr>
    </w:p>
    <w:p w14:paraId="55000000">
      <w:pPr>
        <w:pStyle w:val="Style_5"/>
        <w:widowControl w:val="1"/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 Магнитогорского</w:t>
      </w:r>
    </w:p>
    <w:p w14:paraId="56000000">
      <w:pPr>
        <w:pStyle w:val="Style_5"/>
        <w:widowControl w:val="1"/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XO Thames" w:hAnsi="XO Thames"/>
          <w:b w:val="0"/>
          <w:sz w:val="24"/>
        </w:rPr>
        <w:t>городского Собрания депутатов                                                                             А.О. Морозов</w:t>
      </w:r>
    </w:p>
    <w:p w14:paraId="57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58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59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5A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5B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5C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5D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5E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5F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0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1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2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3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4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5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6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7000000">
      <w:pPr>
        <w:pStyle w:val="Style_5"/>
        <w:widowControl w:val="1"/>
        <w:spacing w:after="0" w:before="0" w:line="240" w:lineRule="auto"/>
        <w:ind/>
        <w:rPr>
          <w:rFonts w:ascii="XO Thames" w:hAnsi="XO Thames"/>
          <w:b w:val="0"/>
          <w:sz w:val="24"/>
        </w:rPr>
      </w:pPr>
    </w:p>
    <w:p w14:paraId="68000000">
      <w:pPr>
        <w:pStyle w:val="Style_5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5387" w:left="0" w:right="0"/>
        <w:rPr>
          <w:rFonts w:ascii="Times New Roman" w:hAnsi="Times New Roman"/>
          <w:sz w:val="24"/>
        </w:rPr>
      </w:pPr>
    </w:p>
    <w:sectPr>
      <w:headerReference r:id="rId4" w:type="default"/>
      <w:headerReference r:id="rId2" w:type="even"/>
      <w:footerReference r:id="rId5" w:type="default"/>
      <w:footerReference r:id="rId1" w:type="first"/>
      <w:footerReference r:id="rId3" w:type="even"/>
      <w:type w:val="nextPage"/>
      <w:pgSz w:h="16848" w:orient="portrait" w:w="11908"/>
      <w:pgMar w:bottom="1134" w:footer="709" w:gutter="0" w:header="709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Вр-</w:t>
    </w:r>
    <w:r>
      <w:rPr>
        <w:rFonts w:ascii="Times New Roman" w:hAnsi="Times New Roman"/>
        <w:b w:val="0"/>
        <w:i w:val="0"/>
        <w:caps w:val="0"/>
        <w:smallCaps w:val="0"/>
        <w:strike w:val="0"/>
        <w:color w:val="222222"/>
        <w:spacing w:val="0"/>
        <w:sz w:val="24"/>
        <w:u w:val="none"/>
        <w:shd w:fill="F5F5F5" w:val="clear"/>
      </w:rPr>
      <w:t>2489888</w:t>
    </w:r>
  </w:p>
  <w:p w14:paraId="02000000">
    <w:pPr>
      <w:pStyle w:val="Style_1"/>
      <w:widowControl w:val="1"/>
      <w:ind/>
      <w:jc w:val="right"/>
      <w:rPr>
        <w:rFonts w:ascii="Times New Roman" w:hAnsi="Times New Roman"/>
        <w:sz w:val="24"/>
      </w:rPr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5_ch" w:type="character">
    <w:name w:val="Normal"/>
    <w:link w:val="Style_5"/>
    <w:rPr>
      <w:rFonts w:asciiTheme="minorAscii" w:hAnsiTheme="minorHAnsi"/>
      <w:color w:val="000000"/>
      <w:spacing w:val="0"/>
      <w:sz w:val="22"/>
    </w:rPr>
  </w:style>
  <w:style w:styleId="Style_8" w:type="paragraph">
    <w:name w:val="Internet link"/>
    <w:link w:val="Style_8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8_ch" w:type="character">
    <w:name w:val="Internet link"/>
    <w:link w:val="Style_8"/>
    <w:rPr>
      <w:rFonts w:ascii="Calibri" w:hAnsi="Calibri"/>
      <w:color w:val="0000FF"/>
      <w:spacing w:val="0"/>
      <w:sz w:val="22"/>
      <w:u w:val="single"/>
    </w:rPr>
  </w:style>
  <w:style w:styleId="Style_9" w:type="paragraph">
    <w:name w:val="toc 2"/>
    <w:next w:val="Style_5"/>
    <w:link w:val="Style_9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2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toc 4"/>
    <w:next w:val="Style_5"/>
    <w:link w:val="Style_10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4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toc 6"/>
    <w:next w:val="Style_5"/>
    <w:link w:val="Style_11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7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Header and Footer1"/>
    <w:link w:val="Style_13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3_ch" w:type="character">
    <w:name w:val="Header and Footer1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Balloon Text1"/>
    <w:basedOn w:val="Style_5"/>
    <w:link w:val="Style_14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4_ch" w:type="character">
    <w:name w:val="Balloon Text1"/>
    <w:basedOn w:val="Style_5_ch"/>
    <w:link w:val="Style_14"/>
    <w:rPr>
      <w:rFonts w:ascii="Tahoma" w:hAnsi="Tahoma"/>
      <w:sz w:val="16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5"/>
    <w:link w:val="Style_1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6_ch" w:type="character">
    <w:name w:val="heading 3"/>
    <w:link w:val="Style_16"/>
    <w:rPr>
      <w:rFonts w:ascii="XO Thames" w:hAnsi="XO Thames"/>
      <w:b w:val="1"/>
      <w:color w:val="000000"/>
      <w:spacing w:val="0"/>
      <w:sz w:val="26"/>
    </w:rPr>
  </w:style>
  <w:style w:styleId="Style_17" w:type="paragraph">
    <w:name w:val="Body Text"/>
    <w:basedOn w:val="Style_5"/>
    <w:link w:val="Style_17_ch"/>
    <w:pPr>
      <w:widowControl w:val="1"/>
      <w:spacing w:after="140" w:before="0" w:line="276" w:lineRule="auto"/>
      <w:ind/>
    </w:pPr>
  </w:style>
  <w:style w:styleId="Style_17_ch" w:type="character">
    <w:name w:val="Body Text"/>
    <w:basedOn w:val="Style_5_ch"/>
    <w:link w:val="Style_17"/>
  </w:style>
  <w:style w:styleId="Style_18" w:type="paragraph">
    <w:name w:val="Contents 3"/>
    <w:link w:val="Style_18_ch"/>
    <w:rPr>
      <w:rFonts w:ascii="XO Thames" w:hAnsi="XO Thames"/>
      <w:sz w:val="28"/>
    </w:rPr>
  </w:style>
  <w:style w:styleId="Style_18_ch" w:type="character">
    <w:name w:val="Contents 3"/>
    <w:link w:val="Style_18"/>
    <w:rPr>
      <w:rFonts w:ascii="XO Thames" w:hAnsi="XO Thames"/>
      <w:sz w:val="28"/>
    </w:rPr>
  </w:style>
  <w:style w:styleId="Style_19" w:type="paragraph">
    <w:name w:val="Heading 21"/>
    <w:link w:val="Style_19_ch"/>
    <w:rPr>
      <w:rFonts w:ascii="XO Thames" w:hAnsi="XO Thames"/>
      <w:b w:val="1"/>
      <w:sz w:val="28"/>
    </w:rPr>
  </w:style>
  <w:style w:styleId="Style_19_ch" w:type="character">
    <w:name w:val="Heading 21"/>
    <w:link w:val="Style_19"/>
    <w:rPr>
      <w:rFonts w:ascii="XO Thames" w:hAnsi="XO Thames"/>
      <w:b w:val="1"/>
      <w:sz w:val="28"/>
    </w:rPr>
  </w:style>
  <w:style w:styleId="Style_20" w:type="paragraph">
    <w:name w:val="Header1"/>
    <w:link w:val="Style_20_ch"/>
  </w:style>
  <w:style w:styleId="Style_20_ch" w:type="character">
    <w:name w:val="Header1"/>
    <w:link w:val="Style_20"/>
  </w:style>
  <w:style w:styleId="Style_21" w:type="paragraph">
    <w:name w:val="Указатель"/>
    <w:basedOn w:val="Style_5"/>
    <w:link w:val="Style_21_ch"/>
    <w:rPr>
      <w:rFonts w:ascii="PT Astra Serif" w:hAnsi="PT Astra Serif"/>
    </w:rPr>
  </w:style>
  <w:style w:styleId="Style_21_ch" w:type="character">
    <w:name w:val="Указатель"/>
    <w:basedOn w:val="Style_5_ch"/>
    <w:link w:val="Style_21"/>
    <w:rPr>
      <w:rFonts w:ascii="PT Astra Serif" w:hAnsi="PT Astra Serif"/>
    </w:rPr>
  </w:style>
  <w:style w:styleId="Style_22" w:type="paragraph">
    <w:name w:val="Endnote1"/>
    <w:link w:val="Style_22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2_ch" w:type="character">
    <w:name w:val="Endnote1"/>
    <w:link w:val="Style_22"/>
    <w:rPr>
      <w:rFonts w:ascii="XO Thames" w:hAnsi="XO Thames"/>
      <w:color w:val="000000"/>
      <w:spacing w:val="0"/>
      <w:sz w:val="22"/>
    </w:rPr>
  </w:style>
  <w:style w:styleId="Style_23" w:type="paragraph">
    <w:name w:val="Contents 5"/>
    <w:link w:val="Style_23_ch"/>
    <w:rPr>
      <w:rFonts w:ascii="XO Thames" w:hAnsi="XO Thames"/>
      <w:sz w:val="28"/>
    </w:rPr>
  </w:style>
  <w:style w:styleId="Style_23_ch" w:type="character">
    <w:name w:val="Contents 5"/>
    <w:link w:val="Style_23"/>
    <w:rPr>
      <w:rFonts w:ascii="XO Thames" w:hAnsi="XO Thames"/>
      <w:sz w:val="28"/>
    </w:rPr>
  </w:style>
  <w:style w:styleId="Style_24" w:type="paragraph">
    <w:name w:val="Heading 51"/>
    <w:link w:val="Style_24_ch"/>
    <w:rPr>
      <w:rFonts w:ascii="XO Thames" w:hAnsi="XO Thames"/>
      <w:b w:val="1"/>
      <w:sz w:val="22"/>
    </w:rPr>
  </w:style>
  <w:style w:styleId="Style_24_ch" w:type="character">
    <w:name w:val="Heading 51"/>
    <w:link w:val="Style_24"/>
    <w:rPr>
      <w:rFonts w:ascii="XO Thames" w:hAnsi="XO Thames"/>
      <w:b w:val="1"/>
      <w:sz w:val="22"/>
    </w:rPr>
  </w:style>
  <w:style w:styleId="Style_25" w:type="paragraph">
    <w:name w:val="Subtitle1"/>
    <w:link w:val="Style_25_ch"/>
    <w:rPr>
      <w:rFonts w:ascii="XO Thames" w:hAnsi="XO Thames"/>
      <w:i w:val="1"/>
      <w:sz w:val="24"/>
    </w:rPr>
  </w:style>
  <w:style w:styleId="Style_25_ch" w:type="character">
    <w:name w:val="Subtitle1"/>
    <w:link w:val="Style_25"/>
    <w:rPr>
      <w:rFonts w:ascii="XO Thames" w:hAnsi="XO Thames"/>
      <w:i w:val="1"/>
      <w:sz w:val="24"/>
    </w:rPr>
  </w:style>
  <w:style w:styleId="Style_26" w:type="paragraph">
    <w:name w:val="toc 3"/>
    <w:next w:val="Style_5"/>
    <w:link w:val="Style_26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6_ch" w:type="character">
    <w:name w:val="toc 3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Footnote1"/>
    <w:link w:val="Style_27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7_ch" w:type="character">
    <w:name w:val="Footnote1"/>
    <w:link w:val="Style_27"/>
    <w:rPr>
      <w:rFonts w:ascii="XO Thames" w:hAnsi="XO Thames"/>
      <w:color w:val="000000"/>
      <w:spacing w:val="0"/>
      <w:sz w:val="22"/>
    </w:rPr>
  </w:style>
  <w:style w:styleId="Style_28" w:type="paragraph">
    <w:name w:val="caption"/>
    <w:basedOn w:val="Style_5"/>
    <w:link w:val="Style_2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8_ch" w:type="character">
    <w:name w:val="caption"/>
    <w:basedOn w:val="Style_5_ch"/>
    <w:link w:val="Style_28"/>
    <w:rPr>
      <w:rFonts w:ascii="PT Astra Serif" w:hAnsi="PT Astra Serif"/>
      <w:i w:val="1"/>
      <w:sz w:val="24"/>
    </w:rPr>
  </w:style>
  <w:style w:styleId="Style_29" w:type="paragraph">
    <w:name w:val="Header and Footer2"/>
    <w:basedOn w:val="Style_5"/>
    <w:link w:val="Style_29_ch"/>
  </w:style>
  <w:style w:styleId="Style_29_ch" w:type="character">
    <w:name w:val="Header and Footer2"/>
    <w:basedOn w:val="Style_5_ch"/>
    <w:link w:val="Style_29"/>
  </w:style>
  <w:style w:styleId="Style_30" w:type="paragraph">
    <w:name w:val="heading 5"/>
    <w:next w:val="Style_5"/>
    <w:link w:val="Style_30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0_ch" w:type="character">
    <w:name w:val="heading 5"/>
    <w:link w:val="Style_30"/>
    <w:rPr>
      <w:rFonts w:ascii="XO Thames" w:hAnsi="XO Thames"/>
      <w:b w:val="1"/>
      <w:color w:val="000000"/>
      <w:spacing w:val="0"/>
      <w:sz w:val="22"/>
    </w:rPr>
  </w:style>
  <w:style w:styleId="Style_31" w:type="paragraph">
    <w:name w:val="heading 1"/>
    <w:next w:val="Style_5"/>
    <w:link w:val="Style_3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1_ch" w:type="character">
    <w:name w:val="heading 1"/>
    <w:link w:val="Style_31"/>
    <w:rPr>
      <w:rFonts w:ascii="XO Thames" w:hAnsi="XO Thames"/>
      <w:b w:val="1"/>
      <w:color w:val="000000"/>
      <w:spacing w:val="0"/>
      <w:sz w:val="32"/>
    </w:rPr>
  </w:style>
  <w:style w:styleId="Style_32" w:type="paragraph">
    <w:name w:val="List"/>
    <w:basedOn w:val="Style_17"/>
    <w:link w:val="Style_32_ch"/>
    <w:rPr>
      <w:rFonts w:ascii="PT Astra Serif" w:hAnsi="PT Astra Serif"/>
    </w:rPr>
  </w:style>
  <w:style w:styleId="Style_32_ch" w:type="character">
    <w:name w:val="List"/>
    <w:basedOn w:val="Style_17_ch"/>
    <w:link w:val="Style_32"/>
    <w:rPr>
      <w:rFonts w:ascii="PT Astra Serif" w:hAnsi="PT Astra Serif"/>
    </w:rPr>
  </w:style>
  <w:style w:styleId="Style_7" w:type="paragraph">
    <w:name w:val="Emphasis"/>
    <w:link w:val="Style_7_ch"/>
    <w:rPr>
      <w:i w:val="1"/>
    </w:rPr>
  </w:style>
  <w:style w:styleId="Style_7_ch" w:type="character">
    <w:name w:val="Emphasis"/>
    <w:link w:val="Style_7"/>
    <w:rPr>
      <w:i w:val="1"/>
    </w:rPr>
  </w:style>
  <w:style w:styleId="Style_33" w:type="paragraph">
    <w:name w:val="Hyperlink"/>
    <w:link w:val="Style_33_ch"/>
    <w:rPr>
      <w:color w:val="0000FF"/>
      <w:u w:val="single"/>
    </w:rPr>
  </w:style>
  <w:style w:styleId="Style_33_ch" w:type="character">
    <w:name w:val="Hyperlink"/>
    <w:link w:val="Style_33"/>
    <w:rPr>
      <w:color w:val="0000FF"/>
      <w:u w:val="single"/>
    </w:rPr>
  </w:style>
  <w:style w:styleId="Style_34" w:type="paragraph">
    <w:name w:val="Footnote"/>
    <w:link w:val="Style_34_ch"/>
    <w:pPr>
      <w:ind w:firstLine="851" w:left="0"/>
      <w:jc w:val="both"/>
    </w:pPr>
    <w:rPr>
      <w:rFonts w:ascii="XO Thames" w:hAnsi="XO Thames"/>
      <w:sz w:val="22"/>
    </w:rPr>
  </w:style>
  <w:style w:styleId="Style_34_ch" w:type="character">
    <w:name w:val="Footnote"/>
    <w:link w:val="Style_34"/>
    <w:rPr>
      <w:rFonts w:ascii="XO Thames" w:hAnsi="XO Thames"/>
      <w:sz w:val="22"/>
    </w:rPr>
  </w:style>
  <w:style w:styleId="Style_35" w:type="paragraph">
    <w:name w:val="Footer1"/>
    <w:link w:val="Style_35_ch"/>
  </w:style>
  <w:style w:styleId="Style_35_ch" w:type="character">
    <w:name w:val="Footer1"/>
    <w:link w:val="Style_35"/>
  </w:style>
  <w:style w:styleId="Style_36" w:type="paragraph">
    <w:name w:val="toc 1"/>
    <w:next w:val="Style_5"/>
    <w:link w:val="Style_36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6_ch" w:type="character">
    <w:name w:val="toc 1"/>
    <w:link w:val="Style_36"/>
    <w:rPr>
      <w:rFonts w:ascii="XO Thames" w:hAnsi="XO Thames"/>
      <w:b w:val="1"/>
      <w:color w:val="000000"/>
      <w:spacing w:val="0"/>
      <w:sz w:val="28"/>
    </w:rPr>
  </w:style>
  <w:style w:styleId="Style_37" w:type="paragraph">
    <w:name w:val="Header and Footer"/>
    <w:link w:val="Style_37_ch"/>
    <w:pPr>
      <w:spacing w:line="240" w:lineRule="auto"/>
      <w:ind/>
      <w:jc w:val="both"/>
    </w:pPr>
    <w:rPr>
      <w:rFonts w:ascii="XO Thames" w:hAnsi="XO Thames"/>
      <w:sz w:val="28"/>
    </w:rPr>
  </w:style>
  <w:style w:styleId="Style_37_ch" w:type="character">
    <w:name w:val="Header and Footer"/>
    <w:link w:val="Style_37"/>
    <w:rPr>
      <w:rFonts w:ascii="XO Thames" w:hAnsi="XO Thames"/>
      <w:sz w:val="28"/>
    </w:rPr>
  </w:style>
  <w:style w:styleId="Style_6" w:type="paragraph">
    <w:name w:val="s_3"/>
    <w:basedOn w:val="Style_5"/>
    <w:link w:val="Style_6_ch"/>
    <w:pPr>
      <w:widowControl w:val="1"/>
      <w:spacing w:after="280" w:before="280" w:line="240" w:lineRule="auto"/>
      <w:ind/>
    </w:pPr>
    <w:rPr>
      <w:rFonts w:ascii="Times New Roman" w:hAnsi="Times New Roman"/>
      <w:sz w:val="24"/>
    </w:rPr>
  </w:style>
  <w:style w:styleId="Style_6_ch" w:type="character">
    <w:name w:val="s_3"/>
    <w:basedOn w:val="Style_5_ch"/>
    <w:link w:val="Style_6"/>
    <w:rPr>
      <w:rFonts w:ascii="Times New Roman" w:hAnsi="Times New Roman"/>
      <w:sz w:val="24"/>
    </w:rPr>
  </w:style>
  <w:style w:styleId="Style_38" w:type="paragraph">
    <w:name w:val="toc 9"/>
    <w:next w:val="Style_5"/>
    <w:link w:val="Style_38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8_ch" w:type="character">
    <w:name w:val="toc 9"/>
    <w:link w:val="Style_38"/>
    <w:rPr>
      <w:rFonts w:ascii="XO Thames" w:hAnsi="XO Thames"/>
      <w:color w:val="000000"/>
      <w:spacing w:val="0"/>
      <w:sz w:val="28"/>
    </w:rPr>
  </w:style>
  <w:style w:styleId="Style_3" w:type="paragraph">
    <w:name w:val="s_1"/>
    <w:basedOn w:val="Style_5"/>
    <w:link w:val="Style_3_ch"/>
    <w:pPr>
      <w:widowControl w:val="1"/>
      <w:spacing w:after="280" w:before="280" w:line="240" w:lineRule="auto"/>
      <w:ind/>
    </w:pPr>
    <w:rPr>
      <w:rFonts w:ascii="Times New Roman" w:hAnsi="Times New Roman"/>
      <w:sz w:val="24"/>
    </w:rPr>
  </w:style>
  <w:style w:styleId="Style_3_ch" w:type="character">
    <w:name w:val="s_1"/>
    <w:basedOn w:val="Style_5_ch"/>
    <w:link w:val="Style_3"/>
    <w:rPr>
      <w:rFonts w:ascii="Times New Roman" w:hAnsi="Times New Roman"/>
      <w:sz w:val="24"/>
    </w:rPr>
  </w:style>
  <w:style w:styleId="Style_39" w:type="paragraph">
    <w:name w:val="Contents 9"/>
    <w:link w:val="Style_39_ch"/>
    <w:rPr>
      <w:rFonts w:ascii="XO Thames" w:hAnsi="XO Thames"/>
      <w:sz w:val="28"/>
    </w:rPr>
  </w:style>
  <w:style w:styleId="Style_39_ch" w:type="character">
    <w:name w:val="Contents 9"/>
    <w:link w:val="Style_39"/>
    <w:rPr>
      <w:rFonts w:ascii="XO Thames" w:hAnsi="XO Thames"/>
      <w:sz w:val="28"/>
    </w:rPr>
  </w:style>
  <w:style w:styleId="Style_40" w:type="paragraph">
    <w:name w:val="Heading 11"/>
    <w:link w:val="Style_40_ch"/>
    <w:rPr>
      <w:rFonts w:ascii="XO Thames" w:hAnsi="XO Thames"/>
      <w:b w:val="1"/>
      <w:sz w:val="32"/>
    </w:rPr>
  </w:style>
  <w:style w:styleId="Style_40_ch" w:type="character">
    <w:name w:val="Heading 11"/>
    <w:link w:val="Style_40"/>
    <w:rPr>
      <w:rFonts w:ascii="XO Thames" w:hAnsi="XO Thames"/>
      <w:b w:val="1"/>
      <w:sz w:val="32"/>
    </w:rPr>
  </w:style>
  <w:style w:styleId="Style_41" w:type="paragraph">
    <w:name w:val="toc 8"/>
    <w:next w:val="Style_5"/>
    <w:link w:val="Style_41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toc 8"/>
    <w:link w:val="Style_41"/>
    <w:rPr>
      <w:rFonts w:ascii="XO Thames" w:hAnsi="XO Thames"/>
      <w:color w:val="000000"/>
      <w:spacing w:val="0"/>
      <w:sz w:val="28"/>
    </w:rPr>
  </w:style>
  <w:style w:styleId="Style_1" w:type="paragraph">
    <w:name w:val="footer"/>
    <w:basedOn w:val="Style_5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footer"/>
    <w:basedOn w:val="Style_5_ch"/>
    <w:link w:val="Style_1"/>
  </w:style>
  <w:style w:styleId="Style_42" w:type="paragraph">
    <w:name w:val="Contents 8"/>
    <w:link w:val="Style_42_ch"/>
    <w:rPr>
      <w:rFonts w:ascii="XO Thames" w:hAnsi="XO Thames"/>
      <w:sz w:val="28"/>
    </w:rPr>
  </w:style>
  <w:style w:styleId="Style_42_ch" w:type="character">
    <w:name w:val="Contents 8"/>
    <w:link w:val="Style_42"/>
    <w:rPr>
      <w:rFonts w:ascii="XO Thames" w:hAnsi="XO Thames"/>
      <w:sz w:val="28"/>
    </w:rPr>
  </w:style>
  <w:style w:styleId="Style_43" w:type="paragraph">
    <w:name w:val="Heading 31"/>
    <w:link w:val="Style_43_ch"/>
    <w:rPr>
      <w:rFonts w:ascii="XO Thames" w:hAnsi="XO Thames"/>
      <w:b w:val="1"/>
      <w:sz w:val="26"/>
    </w:rPr>
  </w:style>
  <w:style w:styleId="Style_43_ch" w:type="character">
    <w:name w:val="Heading 31"/>
    <w:link w:val="Style_43"/>
    <w:rPr>
      <w:rFonts w:ascii="XO Thames" w:hAnsi="XO Thames"/>
      <w:b w:val="1"/>
      <w:sz w:val="26"/>
    </w:rPr>
  </w:style>
  <w:style w:styleId="Style_44" w:type="paragraph">
    <w:name w:val="Contents 4"/>
    <w:link w:val="Style_44_ch"/>
    <w:rPr>
      <w:rFonts w:ascii="XO Thames" w:hAnsi="XO Thames"/>
      <w:sz w:val="28"/>
    </w:rPr>
  </w:style>
  <w:style w:styleId="Style_44_ch" w:type="character">
    <w:name w:val="Contents 4"/>
    <w:link w:val="Style_44"/>
    <w:rPr>
      <w:rFonts w:ascii="XO Thames" w:hAnsi="XO Thames"/>
      <w:sz w:val="28"/>
    </w:rPr>
  </w:style>
  <w:style w:styleId="Style_45" w:type="paragraph">
    <w:name w:val="Contents 7"/>
    <w:link w:val="Style_45_ch"/>
    <w:rPr>
      <w:rFonts w:ascii="XO Thames" w:hAnsi="XO Thames"/>
      <w:sz w:val="28"/>
    </w:rPr>
  </w:style>
  <w:style w:styleId="Style_45_ch" w:type="character">
    <w:name w:val="Contents 7"/>
    <w:link w:val="Style_45"/>
    <w:rPr>
      <w:rFonts w:ascii="XO Thames" w:hAnsi="XO Thames"/>
      <w:sz w:val="28"/>
    </w:rPr>
  </w:style>
  <w:style w:styleId="Style_46" w:type="paragraph">
    <w:name w:val="Contents 2"/>
    <w:link w:val="Style_46_ch"/>
    <w:rPr>
      <w:rFonts w:ascii="XO Thames" w:hAnsi="XO Thames"/>
      <w:sz w:val="28"/>
    </w:rPr>
  </w:style>
  <w:style w:styleId="Style_46_ch" w:type="character">
    <w:name w:val="Contents 2"/>
    <w:link w:val="Style_46"/>
    <w:rPr>
      <w:rFonts w:ascii="XO Thames" w:hAnsi="XO Thames"/>
      <w:sz w:val="28"/>
    </w:rPr>
  </w:style>
  <w:style w:styleId="Style_47" w:type="paragraph">
    <w:name w:val="toc 5"/>
    <w:next w:val="Style_5"/>
    <w:link w:val="Style_47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7_ch" w:type="character">
    <w:name w:val="toc 5"/>
    <w:link w:val="Style_47"/>
    <w:rPr>
      <w:rFonts w:ascii="XO Thames" w:hAnsi="XO Thames"/>
      <w:color w:val="000000"/>
      <w:spacing w:val="0"/>
      <w:sz w:val="28"/>
    </w:rPr>
  </w:style>
  <w:style w:styleId="Style_2" w:type="paragraph">
    <w:name w:val="header"/>
    <w:basedOn w:val="Style_5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header"/>
    <w:basedOn w:val="Style_5_ch"/>
    <w:link w:val="Style_2"/>
  </w:style>
  <w:style w:styleId="Style_48" w:type="paragraph">
    <w:name w:val="Заголовок"/>
    <w:basedOn w:val="Style_5"/>
    <w:next w:val="Style_17"/>
    <w:link w:val="Style_4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8_ch" w:type="character">
    <w:name w:val="Заголовок"/>
    <w:basedOn w:val="Style_5_ch"/>
    <w:link w:val="Style_48"/>
    <w:rPr>
      <w:rFonts w:ascii="PT Astra Serif" w:hAnsi="PT Astra Serif"/>
      <w:sz w:val="28"/>
    </w:rPr>
  </w:style>
  <w:style w:styleId="Style_49" w:type="paragraph">
    <w:name w:val="Title1"/>
    <w:link w:val="Style_49_ch"/>
    <w:rPr>
      <w:rFonts w:ascii="XO Thames" w:hAnsi="XO Thames"/>
      <w:b w:val="1"/>
      <w:caps w:val="1"/>
      <w:sz w:val="40"/>
    </w:rPr>
  </w:style>
  <w:style w:styleId="Style_49_ch" w:type="character">
    <w:name w:val="Title1"/>
    <w:link w:val="Style_49"/>
    <w:rPr>
      <w:rFonts w:ascii="XO Thames" w:hAnsi="XO Thames"/>
      <w:b w:val="1"/>
      <w:caps w:val="1"/>
      <w:sz w:val="40"/>
    </w:rPr>
  </w:style>
  <w:style w:styleId="Style_50" w:type="paragraph">
    <w:name w:val="Heading 41"/>
    <w:link w:val="Style_50_ch"/>
    <w:rPr>
      <w:rFonts w:ascii="XO Thames" w:hAnsi="XO Thames"/>
      <w:b w:val="1"/>
      <w:sz w:val="24"/>
    </w:rPr>
  </w:style>
  <w:style w:styleId="Style_50_ch" w:type="character">
    <w:name w:val="Heading 41"/>
    <w:link w:val="Style_50"/>
    <w:rPr>
      <w:rFonts w:ascii="XO Thames" w:hAnsi="XO Thames"/>
      <w:b w:val="1"/>
      <w:sz w:val="24"/>
    </w:rPr>
  </w:style>
  <w:style w:styleId="Style_51" w:type="paragraph">
    <w:name w:val="Contents 1"/>
    <w:link w:val="Style_51_ch"/>
    <w:rPr>
      <w:rFonts w:ascii="XO Thames" w:hAnsi="XO Thames"/>
      <w:b w:val="1"/>
      <w:sz w:val="28"/>
    </w:rPr>
  </w:style>
  <w:style w:styleId="Style_51_ch" w:type="character">
    <w:name w:val="Contents 1"/>
    <w:link w:val="Style_51"/>
    <w:rPr>
      <w:rFonts w:ascii="XO Thames" w:hAnsi="XO Thames"/>
      <w:b w:val="1"/>
      <w:sz w:val="28"/>
    </w:rPr>
  </w:style>
  <w:style w:styleId="Style_52" w:type="paragraph">
    <w:name w:val="Subtitle"/>
    <w:next w:val="Style_5"/>
    <w:link w:val="Style_52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2_ch" w:type="character">
    <w:name w:val="Subtitle"/>
    <w:link w:val="Style_52"/>
    <w:rPr>
      <w:rFonts w:ascii="XO Thames" w:hAnsi="XO Thames"/>
      <w:i w:val="1"/>
      <w:color w:val="000000"/>
      <w:spacing w:val="0"/>
      <w:sz w:val="24"/>
    </w:rPr>
  </w:style>
  <w:style w:styleId="Style_53" w:type="paragraph">
    <w:name w:val="Default Paragraph Font1"/>
    <w:link w:val="Style_53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3_ch" w:type="character">
    <w:name w:val="Default Paragraph Font1"/>
    <w:link w:val="Style_53"/>
    <w:rPr>
      <w:rFonts w:asciiTheme="minorAscii" w:hAnsiTheme="minorHAnsi"/>
      <w:color w:val="000000"/>
      <w:spacing w:val="0"/>
      <w:sz w:val="22"/>
    </w:rPr>
  </w:style>
  <w:style w:styleId="Style_54" w:type="paragraph">
    <w:name w:val="Title"/>
    <w:next w:val="Style_5"/>
    <w:link w:val="Style_54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54_ch" w:type="character">
    <w:name w:val="Title"/>
    <w:link w:val="Style_54"/>
    <w:rPr>
      <w:rFonts w:ascii="XO Thames" w:hAnsi="XO Thames"/>
      <w:b w:val="1"/>
      <w:caps w:val="1"/>
      <w:color w:val="000000"/>
      <w:spacing w:val="0"/>
      <w:sz w:val="40"/>
    </w:rPr>
  </w:style>
  <w:style w:styleId="Style_55" w:type="paragraph">
    <w:name w:val="heading 4"/>
    <w:next w:val="Style_5"/>
    <w:link w:val="Style_55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55_ch" w:type="character">
    <w:name w:val="heading 4"/>
    <w:link w:val="Style_55"/>
    <w:rPr>
      <w:rFonts w:ascii="XO Thames" w:hAnsi="XO Thames"/>
      <w:b w:val="1"/>
      <w:color w:val="000000"/>
      <w:spacing w:val="0"/>
      <w:sz w:val="24"/>
    </w:rPr>
  </w:style>
  <w:style w:styleId="Style_56" w:type="paragraph">
    <w:name w:val="heading 2"/>
    <w:next w:val="Style_5"/>
    <w:link w:val="Style_5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6_ch" w:type="character">
    <w:name w:val="heading 2"/>
    <w:link w:val="Style_56"/>
    <w:rPr>
      <w:rFonts w:ascii="XO Thames" w:hAnsi="XO Thames"/>
      <w:b w:val="1"/>
      <w:color w:val="000000"/>
      <w:spacing w:val="0"/>
      <w:sz w:val="28"/>
    </w:rPr>
  </w:style>
  <w:style w:styleId="Style_57" w:type="paragraph">
    <w:name w:val="Contents 6"/>
    <w:link w:val="Style_57_ch"/>
    <w:rPr>
      <w:rFonts w:ascii="XO Thames" w:hAnsi="XO Thames"/>
      <w:sz w:val="28"/>
    </w:rPr>
  </w:style>
  <w:style w:styleId="Style_57_ch" w:type="character">
    <w:name w:val="Contents 6"/>
    <w:link w:val="Style_57"/>
    <w:rPr>
      <w:rFonts w:ascii="XO Thames" w:hAnsi="XO Thames"/>
      <w:sz w:val="28"/>
    </w:rPr>
  </w:style>
  <w:style w:styleId="Style_58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footer1.xml" Type="http://schemas.openxmlformats.org/officeDocument/2006/relationships/footer"/>
  <Relationship Id="rId10" Target="webSettings.xml" Type="http://schemas.openxmlformats.org/officeDocument/2006/relationships/webSettings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styles.xml" Type="http://schemas.openxmlformats.org/officeDocument/2006/relationships/styles"/>
  <Relationship Id="rId4" Target="header4.xml" Type="http://schemas.openxmlformats.org/officeDocument/2006/relationships/header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footer5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2026-11-03T10:49:17Z</dcterms:modified>
</cp:coreProperties>
</file>