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8D" w:rsidRPr="008E4850" w:rsidRDefault="00295E8D" w:rsidP="00295E8D">
      <w:pPr>
        <w:jc w:val="right"/>
      </w:pPr>
      <w:r w:rsidRPr="008E4850">
        <w:t xml:space="preserve">                                                    </w:t>
      </w:r>
      <w:r w:rsidRPr="008E4850">
        <w:tab/>
      </w:r>
      <w:r w:rsidRPr="008E4850">
        <w:tab/>
      </w:r>
      <w:r w:rsidRPr="008E4850">
        <w:tab/>
      </w:r>
      <w:r w:rsidRPr="008E4850">
        <w:tab/>
      </w:r>
      <w:r w:rsidRPr="008E4850">
        <w:rPr>
          <w:b/>
          <w:bCs/>
        </w:rPr>
        <w:tab/>
      </w:r>
      <w:r w:rsidRPr="008E4850">
        <w:rPr>
          <w:b/>
          <w:bCs/>
        </w:rPr>
        <w:tab/>
      </w:r>
      <w:r w:rsidRPr="008E4850">
        <w:tab/>
      </w:r>
    </w:p>
    <w:p w:rsidR="00295E8D" w:rsidRPr="008E4850" w:rsidRDefault="00295E8D" w:rsidP="00295E8D">
      <w:pPr>
        <w:pStyle w:val="1"/>
        <w:jc w:val="center"/>
        <w:rPr>
          <w:caps/>
        </w:rPr>
      </w:pPr>
      <w:r w:rsidRPr="008E4850">
        <w:rPr>
          <w:caps/>
        </w:rPr>
        <w:t>П</w:t>
      </w:r>
      <w:r>
        <w:rPr>
          <w:caps/>
        </w:rPr>
        <w:t>Ресс-релиз к п</w:t>
      </w:r>
      <w:r w:rsidRPr="008E4850">
        <w:rPr>
          <w:caps/>
        </w:rPr>
        <w:t>овестк</w:t>
      </w:r>
      <w:r>
        <w:rPr>
          <w:caps/>
        </w:rPr>
        <w:t>е</w:t>
      </w:r>
    </w:p>
    <w:p w:rsidR="00295E8D" w:rsidRPr="008E4850" w:rsidRDefault="00295E8D" w:rsidP="00295E8D">
      <w:pPr>
        <w:pStyle w:val="1"/>
        <w:jc w:val="center"/>
      </w:pPr>
      <w:r w:rsidRPr="008E4850">
        <w:t>заседания Магнитогорского городского Собрания депутатов</w:t>
      </w:r>
    </w:p>
    <w:p w:rsidR="00295E8D" w:rsidRDefault="00295E8D" w:rsidP="00295E8D">
      <w:pPr>
        <w:pStyle w:val="1"/>
        <w:jc w:val="right"/>
      </w:pPr>
      <w:r w:rsidRPr="008E4850">
        <w:t xml:space="preserve">                                                                                                              29 ноября 2022 года</w:t>
      </w:r>
    </w:p>
    <w:p w:rsidR="00295E8D" w:rsidRPr="008E4850" w:rsidRDefault="00295E8D" w:rsidP="00295E8D"/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"/>
        <w:gridCol w:w="5679"/>
        <w:gridCol w:w="1731"/>
        <w:gridCol w:w="1727"/>
      </w:tblGrid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F3F3F3"/>
            <w:vAlign w:val="center"/>
          </w:tcPr>
          <w:p w:rsidR="00295E8D" w:rsidRPr="008E4850" w:rsidRDefault="00295E8D" w:rsidP="002453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E4850">
              <w:rPr>
                <w:b/>
                <w:bCs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95E8D" w:rsidRPr="008E4850" w:rsidRDefault="00295E8D" w:rsidP="002453B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4850">
              <w:rPr>
                <w:b/>
                <w:bCs/>
                <w:i/>
                <w:iCs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913" w:type="pct"/>
            <w:shd w:val="clear" w:color="auto" w:fill="F3F3F3"/>
            <w:vAlign w:val="center"/>
          </w:tcPr>
          <w:p w:rsidR="00295E8D" w:rsidRPr="008E4850" w:rsidRDefault="00295E8D" w:rsidP="002453B2">
            <w:pPr>
              <w:jc w:val="center"/>
              <w:rPr>
                <w:b/>
                <w:bCs/>
                <w:i/>
                <w:iCs/>
                <w:caps/>
                <w:sz w:val="20"/>
                <w:szCs w:val="20"/>
              </w:rPr>
            </w:pPr>
            <w:r w:rsidRPr="008E4850">
              <w:rPr>
                <w:b/>
                <w:bCs/>
                <w:i/>
                <w:iCs/>
                <w:caps/>
                <w:sz w:val="20"/>
                <w:szCs w:val="20"/>
              </w:rPr>
              <w:t>Комиссия</w:t>
            </w:r>
          </w:p>
          <w:p w:rsidR="00295E8D" w:rsidRPr="008E4850" w:rsidRDefault="00295E8D" w:rsidP="002453B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8E4850">
              <w:rPr>
                <w:b/>
                <w:bCs/>
                <w:i/>
                <w:iCs/>
                <w:sz w:val="20"/>
                <w:szCs w:val="20"/>
              </w:rPr>
              <w:t>(Председатель)</w:t>
            </w:r>
          </w:p>
        </w:tc>
        <w:tc>
          <w:tcPr>
            <w:tcW w:w="911" w:type="pct"/>
            <w:shd w:val="clear" w:color="auto" w:fill="F3F3F3"/>
            <w:vAlign w:val="center"/>
          </w:tcPr>
          <w:p w:rsidR="00295E8D" w:rsidRPr="008E4850" w:rsidRDefault="00295E8D" w:rsidP="002453B2">
            <w:pPr>
              <w:jc w:val="center"/>
              <w:rPr>
                <w:b/>
                <w:bCs/>
                <w:i/>
                <w:iCs/>
                <w:caps/>
                <w:sz w:val="20"/>
                <w:szCs w:val="20"/>
              </w:rPr>
            </w:pPr>
            <w:r w:rsidRPr="008E4850">
              <w:rPr>
                <w:b/>
                <w:bCs/>
                <w:i/>
                <w:iCs/>
                <w:caps/>
                <w:sz w:val="20"/>
                <w:szCs w:val="20"/>
              </w:rPr>
              <w:t>Докладчик</w:t>
            </w:r>
          </w:p>
          <w:p w:rsidR="00295E8D" w:rsidRPr="008E4850" w:rsidRDefault="00295E8D" w:rsidP="002453B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proofErr w:type="gramStart"/>
            <w:r w:rsidRPr="008E4850">
              <w:rPr>
                <w:b/>
                <w:bCs/>
                <w:i/>
                <w:iCs/>
                <w:sz w:val="20"/>
                <w:szCs w:val="20"/>
              </w:rPr>
              <w:t>ответственный</w:t>
            </w:r>
            <w:proofErr w:type="gramEnd"/>
            <w:r w:rsidRPr="008E4850">
              <w:rPr>
                <w:b/>
                <w:bCs/>
                <w:i/>
                <w:iCs/>
                <w:sz w:val="20"/>
                <w:szCs w:val="20"/>
              </w:rPr>
              <w:t xml:space="preserve"> за подготовку вопроса от администрации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 xml:space="preserve">Об </w:t>
            </w:r>
            <w:proofErr w:type="gramStart"/>
            <w:r w:rsidRPr="008E4850">
              <w:t>отчете</w:t>
            </w:r>
            <w:proofErr w:type="gramEnd"/>
            <w:r w:rsidRPr="008E4850">
              <w:t xml:space="preserve"> об исполнении бюджета города Магнитогорска за 9 месяцев 2022 года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бюджету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Довженок</w:t>
            </w:r>
            <w:proofErr w:type="spellEnd"/>
            <w:r w:rsidRPr="008E4850">
              <w:rPr>
                <w:b/>
              </w:rPr>
              <w:t xml:space="preserve"> А.В.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Макарова А.Н.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 w:rsidRPr="00A253DF">
              <w:t xml:space="preserve">За девять месяцев в бюджет поступили доходы в сумме 12 </w:t>
            </w:r>
            <w:proofErr w:type="spellStart"/>
            <w:proofErr w:type="gramStart"/>
            <w:r w:rsidRPr="00A253DF">
              <w:t>млрд</w:t>
            </w:r>
            <w:proofErr w:type="spellEnd"/>
            <w:proofErr w:type="gramEnd"/>
            <w:r w:rsidRPr="00A253DF">
              <w:t xml:space="preserve"> рублей, это почти 70% от годовых бюджетных назначений. </w:t>
            </w:r>
            <w:r>
              <w:t xml:space="preserve">Налоговые и неналоговые доходы, то есть то, что город заработал самостоятельно, составили 4,3 </w:t>
            </w:r>
            <w:proofErr w:type="spellStart"/>
            <w:proofErr w:type="gramStart"/>
            <w:r>
              <w:t>млрд</w:t>
            </w:r>
            <w:proofErr w:type="spellEnd"/>
            <w:proofErr w:type="gramEnd"/>
            <w:r>
              <w:t xml:space="preserve"> рублей или 35,7 % в общем объёме. </w:t>
            </w:r>
          </w:p>
          <w:p w:rsidR="00295E8D" w:rsidRDefault="00295E8D" w:rsidP="002453B2">
            <w:pPr>
              <w:ind w:firstLine="709"/>
              <w:jc w:val="both"/>
            </w:pPr>
            <w:r>
              <w:t xml:space="preserve"> Наибольшую долю в налоговых и неналоговых доходах – 58% - занимает налог на доходы физических лиц, ещё 18% - налоги на совокупный доход, 12% - доходы </w:t>
            </w:r>
            <w:proofErr w:type="gramStart"/>
            <w:r>
              <w:t>от</w:t>
            </w:r>
            <w:proofErr w:type="gramEnd"/>
            <w:r>
              <w:t xml:space="preserve"> управлении муниципальным имуществом.</w:t>
            </w:r>
          </w:p>
          <w:p w:rsidR="00295E8D" w:rsidRPr="00A253DF" w:rsidRDefault="00295E8D" w:rsidP="002453B2">
            <w:pPr>
              <w:ind w:firstLine="709"/>
              <w:jc w:val="both"/>
            </w:pPr>
            <w:r w:rsidRPr="00A253DF">
              <w:t xml:space="preserve">Расходы составили 13,7 </w:t>
            </w:r>
            <w:proofErr w:type="spellStart"/>
            <w:proofErr w:type="gramStart"/>
            <w:r w:rsidRPr="00A253DF">
              <w:t>млрд</w:t>
            </w:r>
            <w:proofErr w:type="spellEnd"/>
            <w:proofErr w:type="gramEnd"/>
            <w:r w:rsidRPr="00A253DF">
              <w:t xml:space="preserve"> рублей или 66% от планируемого на год. Сохранилась приоритетность финансирования отраслей социальной сферы: 59% общего объема расходов направлено на развитие образования, культуры, физкультуры и спорта, социальной защиты населения.</w:t>
            </w:r>
          </w:p>
          <w:p w:rsidR="00295E8D" w:rsidRPr="008E4850" w:rsidRDefault="00295E8D" w:rsidP="002453B2">
            <w:pPr>
              <w:ind w:right="-104" w:firstLine="709"/>
            </w:pPr>
            <w:r>
              <w:t>Обеспечено своевременное финансирование расходов по обеспечению деятельности казенных учреждений, по предоставлению субсидий бюджетным и автономным муниципальным учреждениям на финансовое обеспечение муниципального задания на оказание услуг и иные цели.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BC751D">
              <w:t>О внесении изменений в Решение Магнитогорского городского Собрания депутатов от 21 декабря 2021 года №269 «Об утверждении бюджета города Магнитогорска на 2022 год и плановый период 2023 и 2024 годов»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бюджету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Довженок</w:t>
            </w:r>
            <w:proofErr w:type="spellEnd"/>
            <w:r w:rsidRPr="008E4850">
              <w:rPr>
                <w:b/>
              </w:rPr>
              <w:t xml:space="preserve"> А.В.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Макарова А.Н.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 w:rsidRPr="00002CCA">
              <w:t xml:space="preserve">Изменения связаны  с поступлением средств из вышестоящих бюджетов. Доходы городской казны предлагается увеличить до 18 </w:t>
            </w:r>
            <w:proofErr w:type="spellStart"/>
            <w:proofErr w:type="gramStart"/>
            <w:r w:rsidRPr="00002CCA">
              <w:t>млрд</w:t>
            </w:r>
            <w:proofErr w:type="spellEnd"/>
            <w:proofErr w:type="gramEnd"/>
            <w:r w:rsidRPr="00002CCA">
              <w:t xml:space="preserve"> рублей. </w:t>
            </w:r>
          </w:p>
          <w:p w:rsidR="00295E8D" w:rsidRPr="008E4850" w:rsidRDefault="00295E8D" w:rsidP="002453B2">
            <w:pPr>
              <w:ind w:firstLine="709"/>
              <w:jc w:val="both"/>
            </w:pPr>
            <w:r>
              <w:t>Р</w:t>
            </w:r>
            <w:r w:rsidRPr="00002CCA">
              <w:t xml:space="preserve">асходы </w:t>
            </w:r>
            <w:r>
              <w:t xml:space="preserve">предполагается </w:t>
            </w:r>
            <w:r w:rsidRPr="00002CCA">
              <w:t xml:space="preserve">увеличить до 21,3 </w:t>
            </w:r>
            <w:proofErr w:type="spellStart"/>
            <w:proofErr w:type="gramStart"/>
            <w:r w:rsidRPr="00002CCA">
              <w:t>млрд</w:t>
            </w:r>
            <w:proofErr w:type="spellEnd"/>
            <w:proofErr w:type="gramEnd"/>
            <w:r w:rsidRPr="00002CCA">
              <w:t xml:space="preserve"> рублей. Деньги направят, в том числе на модернизацию, реконструкцию, капитальный ремонт и строительство инженерной инфраструктуры, на приобретение квартир для детей-сирот, социальную поддержку и сферу образования. 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 Прогнозе социально-экономического развития города Магнитогорска на 2023 год и плановый период 2024 и 2025 годов</w:t>
            </w:r>
          </w:p>
          <w:p w:rsidR="00295E8D" w:rsidRPr="008E4850" w:rsidRDefault="00295E8D" w:rsidP="002453B2">
            <w:pPr>
              <w:jc w:val="both"/>
            </w:pPr>
            <w:r w:rsidRPr="008E4850">
              <w:t>О</w:t>
            </w:r>
            <w:r>
              <w:t xml:space="preserve"> проекте </w:t>
            </w:r>
            <w:r w:rsidRPr="008E4850">
              <w:t>бюджета города Магнитогорска на 2023 год и плановый период 2024 и 2025 годов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бюджету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Довженок</w:t>
            </w:r>
            <w:proofErr w:type="spellEnd"/>
            <w:r w:rsidRPr="008E4850">
              <w:rPr>
                <w:b/>
              </w:rPr>
              <w:t xml:space="preserve"> А.В.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</w:p>
          <w:p w:rsidR="00295E8D" w:rsidRPr="008E4850" w:rsidRDefault="00295E8D" w:rsidP="002453B2">
            <w:pPr>
              <w:ind w:right="-103"/>
              <w:rPr>
                <w:b/>
              </w:rPr>
            </w:pP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Макарова А.Н.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920AA9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920AA9">
              <w:t xml:space="preserve">Прогноз выполнен в двух вариантах: консервативном и базовом. Причем, базовый вариант – наиболее вероятный сценарий развития российской экономики. Несмотря на </w:t>
            </w:r>
            <w:proofErr w:type="spellStart"/>
            <w:r w:rsidRPr="00920AA9">
              <w:t>санкционное</w:t>
            </w:r>
            <w:proofErr w:type="spellEnd"/>
            <w:r w:rsidRPr="00920AA9">
              <w:t xml:space="preserve"> давление, в городе продолжается реализация уже начатых </w:t>
            </w:r>
            <w:proofErr w:type="spellStart"/>
            <w:proofErr w:type="gramStart"/>
            <w:r w:rsidRPr="00920AA9">
              <w:t>инвестпроектов</w:t>
            </w:r>
            <w:proofErr w:type="spellEnd"/>
            <w:proofErr w:type="gramEnd"/>
            <w:r w:rsidRPr="00920AA9">
              <w:t xml:space="preserve"> и запускаются новые. Среднегодовая стоимость имущества, облагаемого налогом на имущество организаций, по итогам 2021 года составила 83 млрд. рублей. По оценке текущего года стоимость имущества составит 94,4 млрд. рублей.</w:t>
            </w:r>
          </w:p>
          <w:p w:rsidR="00295E8D" w:rsidRPr="00920AA9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920AA9">
              <w:t xml:space="preserve">Среднегодовая численность работающих на крупных и средних предприятиях практически останется на уровне 2021 года - 138 тыс. человек. Кстати, базовый вариант прогноза предполагает небольшой рост показателя среднегодовой численности </w:t>
            </w:r>
            <w:r w:rsidRPr="00920AA9">
              <w:lastRenderedPageBreak/>
              <w:t>работников до конца планового периода.</w:t>
            </w:r>
          </w:p>
          <w:p w:rsidR="00295E8D" w:rsidRPr="00920AA9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920AA9">
              <w:t>По оценке текущего года фонд оплаты труда увеличится на 9,2% по сравнению с 2021 годом и составит 88,5 млрд. рублей.</w:t>
            </w:r>
          </w:p>
          <w:p w:rsidR="00295E8D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920AA9">
              <w:t>Отмечено, что среднегодовая численность населения по итогам 2022 года оценивается на уровне 411,1 тыс. человек. </w:t>
            </w:r>
          </w:p>
          <w:p w:rsidR="00295E8D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t>Прогноз</w:t>
            </w:r>
            <w:r w:rsidRPr="00920AA9">
              <w:t xml:space="preserve"> является одним из обязательных документов для стратегического планирования. Он лежит в основе бюджета Магнитогорска на 2023 год и плановый период 2024 и 2025 годов, который предстоит утвердить в первом чтении.</w:t>
            </w:r>
          </w:p>
          <w:p w:rsidR="00295E8D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</w:p>
          <w:p w:rsidR="00295E8D" w:rsidRPr="00920AA9" w:rsidRDefault="00295E8D" w:rsidP="002453B2">
            <w:pPr>
              <w:ind w:firstLine="709"/>
              <w:jc w:val="both"/>
            </w:pPr>
            <w:r w:rsidRPr="00920AA9">
              <w:t xml:space="preserve">Предлагается утвердить на 2023 год доходы бюджета города в сумме 17,5 </w:t>
            </w:r>
            <w:proofErr w:type="spellStart"/>
            <w:proofErr w:type="gramStart"/>
            <w:r w:rsidRPr="00920AA9">
              <w:t>млрд</w:t>
            </w:r>
            <w:proofErr w:type="spellEnd"/>
            <w:proofErr w:type="gramEnd"/>
            <w:r w:rsidRPr="00920AA9">
              <w:t xml:space="preserve"> рублей, расходы сумме 18,8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рублей. </w:t>
            </w:r>
          </w:p>
          <w:p w:rsidR="00295E8D" w:rsidRPr="00920AA9" w:rsidRDefault="00295E8D" w:rsidP="002453B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20AA9">
              <w:t xml:space="preserve">Напомним, что первоначально утвержденный бюджет города на 2022 год по доходам составлял 15,9 </w:t>
            </w:r>
            <w:proofErr w:type="spellStart"/>
            <w:proofErr w:type="gramStart"/>
            <w:r w:rsidRPr="00920AA9">
              <w:t>млрд</w:t>
            </w:r>
            <w:proofErr w:type="spellEnd"/>
            <w:proofErr w:type="gramEnd"/>
            <w:r w:rsidRPr="00920AA9">
              <w:t xml:space="preserve"> рублей (на 2021 год - 15,1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 рублей, на 2020 год - 14,4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рублей), по расходам -  17,9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рублей (на 2021 год - 16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рублей, на 2020 год - 15,1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рублей).</w:t>
            </w:r>
          </w:p>
          <w:p w:rsidR="00295E8D" w:rsidRPr="00920AA9" w:rsidRDefault="00295E8D" w:rsidP="002453B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20AA9">
              <w:t xml:space="preserve">Также предлагается утвердить основные характеристики бюджета города на плановый период 2024 год – доходы в сумме 16,3 </w:t>
            </w:r>
            <w:proofErr w:type="spellStart"/>
            <w:proofErr w:type="gramStart"/>
            <w:r w:rsidRPr="00920AA9">
              <w:t>млрд</w:t>
            </w:r>
            <w:proofErr w:type="spellEnd"/>
            <w:proofErr w:type="gramEnd"/>
            <w:r w:rsidRPr="00920AA9">
              <w:t xml:space="preserve"> рублей, расходы в сумме 17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рублей, и на 2025 год - доходы в сумме 16,8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рублей, расходы в сумме 17,4 </w:t>
            </w:r>
            <w:proofErr w:type="spellStart"/>
            <w:r w:rsidRPr="00920AA9">
              <w:t>млрд</w:t>
            </w:r>
            <w:proofErr w:type="spellEnd"/>
            <w:r w:rsidRPr="00920AA9">
              <w:t xml:space="preserve"> рублей. </w:t>
            </w:r>
          </w:p>
          <w:p w:rsidR="00295E8D" w:rsidRPr="008E4850" w:rsidRDefault="00295E8D" w:rsidP="002453B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920AA9">
              <w:t>Рассмотрение бюджета города на 2023 год и плановый период 2024 и 2025 годов во втором чтении планируется на очередном заседании городского Собрания в декабре.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0B2202">
              <w:t>О внесении изменения в Положение об Управлении финансов администрации города Магнитогорска, утвержденное Решением Магнитогорского городского Собрания депутатов от 5 октября 2022 года №138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Абрамова Л.Р.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8E4850" w:rsidRDefault="00295E8D" w:rsidP="002453B2">
            <w:pPr>
              <w:ind w:firstLine="709"/>
              <w:jc w:val="both"/>
            </w:pPr>
            <w:r>
              <w:t>Уточняются права начальника управления</w:t>
            </w:r>
            <w:r w:rsidRPr="000B2202">
              <w:t xml:space="preserve"> финансов администрации города</w:t>
            </w:r>
            <w:r>
              <w:t xml:space="preserve">, в том числе </w:t>
            </w:r>
            <w:r w:rsidRPr="00747435">
              <w:t>право использования электронной подписи.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D75D53">
              <w:t>О внесении изменений в Положение об Управлении транспорта и коммунального хозяйства администрации города Магнитогорска, утвержденное Решением Магнитогорского городского Собрания депутатов от 5 октября 2022 года №142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Шумов К.С.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>
              <w:t xml:space="preserve">Изменения уточняют полномочия начальника управления </w:t>
            </w:r>
            <w:r w:rsidRPr="00D75D53">
              <w:t>транспорта и коммунального хозяйства администрации города</w:t>
            </w:r>
            <w:r>
              <w:t xml:space="preserve">, в том в качестве работодателя для сотрудников. </w:t>
            </w:r>
          </w:p>
          <w:p w:rsidR="00295E8D" w:rsidRPr="008E4850" w:rsidRDefault="00295E8D" w:rsidP="002453B2">
            <w:pPr>
              <w:ind w:firstLine="709"/>
              <w:jc w:val="both"/>
            </w:pPr>
            <w:r>
              <w:t>Также уточняются другие изменения в правах, в том числе право использования электронной подписи.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 xml:space="preserve">О внесении изменений в Приложения к Положению об оплате труда работников </w:t>
            </w:r>
            <w:r>
              <w:t>м</w:t>
            </w:r>
            <w:r w:rsidRPr="008E4850">
              <w:t>униципальных учреждений, подведомственных Управлению социальной защиты населения администрации города Магнитогорска, утвержденному Решением Магнитогорского городского Собрания депутатов от 31 мая 2011 года №96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экономической политике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Ширяев О.П.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Ярыгина Л.Г.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>
              <w:t>В</w:t>
            </w:r>
            <w:r w:rsidRPr="00CA102C">
              <w:t xml:space="preserve"> соответствии с </w:t>
            </w:r>
            <w:r>
              <w:t>Постановлением</w:t>
            </w:r>
            <w:r w:rsidRPr="00CA102C">
              <w:t xml:space="preserve"> Правительства области оклады работников </w:t>
            </w:r>
            <w:r>
              <w:t>выросли</w:t>
            </w:r>
            <w:r w:rsidRPr="00CA102C">
              <w:t xml:space="preserve"> на 4%. </w:t>
            </w:r>
          </w:p>
          <w:p w:rsidR="00295E8D" w:rsidRDefault="00295E8D" w:rsidP="002453B2">
            <w:pPr>
              <w:ind w:firstLine="709"/>
              <w:jc w:val="both"/>
            </w:pPr>
            <w:proofErr w:type="gramStart"/>
            <w:r>
              <w:t>Также предлагается предусмотреть увеличение размера надбавки за особые условия на 20% для работников Центров помощи детям, оставшимся без попечения родителей, за работу в специальных (коррекционных) классах, группах для обучающихся с ограниченными возможностями здоровья.</w:t>
            </w:r>
            <w:proofErr w:type="gramEnd"/>
          </w:p>
          <w:p w:rsidR="00295E8D" w:rsidRPr="008E4850" w:rsidRDefault="00295E8D" w:rsidP="002453B2">
            <w:pPr>
              <w:ind w:firstLine="709"/>
              <w:jc w:val="both"/>
            </w:pPr>
            <w:r>
              <w:lastRenderedPageBreak/>
              <w:t>Повышение будет осуществляться за счет областного бюджета.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A25147">
              <w:t xml:space="preserve">О внесении изменения в пункт 4 Порядка дополнительного использования собственных финансовых средств города Магнитогорска </w:t>
            </w:r>
            <w:proofErr w:type="gramStart"/>
            <w:r w:rsidRPr="00A25147">
              <w:t>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  <w:r w:rsidRPr="00A25147">
              <w:t>, утвержденного Решением Магнитогорского городского Собрания депутатов от 25 февраля 2020 года №9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городскому хозяйству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Куряев</w:t>
            </w:r>
            <w:proofErr w:type="spellEnd"/>
            <w:r w:rsidRPr="008E4850">
              <w:rPr>
                <w:b/>
              </w:rPr>
              <w:t xml:space="preserve"> Д.В.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Зинурова</w:t>
            </w:r>
            <w:proofErr w:type="spellEnd"/>
            <w:r w:rsidRPr="008E4850">
              <w:t xml:space="preserve"> М.Р.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>
              <w:t xml:space="preserve">Документ соответствует вступившим в силу изменениям областного законодательства. </w:t>
            </w:r>
          </w:p>
          <w:p w:rsidR="00295E8D" w:rsidRPr="00A25147" w:rsidRDefault="00295E8D" w:rsidP="002453B2">
            <w:pPr>
              <w:ind w:firstLine="709"/>
              <w:jc w:val="both"/>
            </w:pPr>
            <w:r>
              <w:t xml:space="preserve">После отлова животных без владельцев, их транспортировки в приют, маркировки, стерилизации и других мероприятий уточняется, что возможно не только возвращать неагрессивных животных на прежние места их обитания, но и размещать их в частные приюты для животных.  И содержать там до конца их жизни  или до передачи новым владельцам. 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Об утверждении Прогнозного плана (программы) приватизации имущества, находящегося в муниципальной собственности города Магнитогорска</w:t>
            </w:r>
            <w:r>
              <w:t>, на 2023 год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t xml:space="preserve">Комиссия по муниципальной собственности </w:t>
            </w:r>
            <w:r w:rsidRPr="008E4850">
              <w:rPr>
                <w:b/>
              </w:rPr>
              <w:t>Король С.В.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Верховодова</w:t>
            </w:r>
            <w:proofErr w:type="spellEnd"/>
            <w:r w:rsidRPr="008E4850">
              <w:t xml:space="preserve"> Е.Г.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 w:rsidRPr="00747784">
              <w:t xml:space="preserve">В Прогнозный план приватизации на будущий </w:t>
            </w:r>
            <w:r>
              <w:t xml:space="preserve">год предлагается </w:t>
            </w:r>
            <w:r w:rsidRPr="00747784">
              <w:t>включи</w:t>
            </w:r>
            <w:r>
              <w:t>ть</w:t>
            </w:r>
            <w:r w:rsidRPr="00747784">
              <w:t xml:space="preserve"> пять объектов, которые в настоящее время не используются и не востребованы. </w:t>
            </w:r>
          </w:p>
          <w:p w:rsidR="00295E8D" w:rsidRPr="008E4850" w:rsidRDefault="00295E8D" w:rsidP="002453B2">
            <w:pPr>
              <w:ind w:firstLine="709"/>
              <w:jc w:val="both"/>
            </w:pPr>
            <w:r w:rsidRPr="00747784">
              <w:t>От их реализации планируют получить в бюджет города чуть более 5 млн. рублей.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 согласовании передачи в безвозмездное пользование Частному учреждению дополнительного профессионального образования «Учебный центр специальной подготовки «Славяне» муниципального имущества города Магнитогорска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t xml:space="preserve">Комиссия по муниципальной собственности </w:t>
            </w:r>
            <w:r w:rsidRPr="008E4850">
              <w:rPr>
                <w:b/>
              </w:rPr>
              <w:t>Король С.В.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Верховодова</w:t>
            </w:r>
            <w:proofErr w:type="spellEnd"/>
            <w:r w:rsidRPr="008E4850">
              <w:t xml:space="preserve"> Е.Г.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DE7041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t xml:space="preserve">Планируется передать в </w:t>
            </w:r>
            <w:r w:rsidRPr="00DE7041">
              <w:t>безвозмездное пользование частному учреждению дополнительного профессионального образования «Учебный центр специальной подготовки «Славяне» муниципально</w:t>
            </w:r>
            <w:r>
              <w:t>е</w:t>
            </w:r>
            <w:r w:rsidRPr="00DE7041">
              <w:t xml:space="preserve"> имуществ</w:t>
            </w:r>
            <w:r>
              <w:t>о</w:t>
            </w:r>
            <w:r w:rsidRPr="00DE7041">
              <w:t xml:space="preserve"> по ул. Ворошилова,</w:t>
            </w:r>
            <w:r>
              <w:t xml:space="preserve"> </w:t>
            </w:r>
            <w:r w:rsidRPr="00DE7041">
              <w:t>9/3. Помещение в настоящее время арендует эта же организация.</w:t>
            </w:r>
          </w:p>
          <w:p w:rsidR="00295E8D" w:rsidRPr="00DE7041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t>Одной из о</w:t>
            </w:r>
            <w:r w:rsidRPr="00DE7041">
              <w:t>сновн</w:t>
            </w:r>
            <w:r>
              <w:t>ых</w:t>
            </w:r>
            <w:r w:rsidRPr="00DE7041">
              <w:t xml:space="preserve"> задач </w:t>
            </w:r>
            <w:r>
              <w:t>у</w:t>
            </w:r>
            <w:r w:rsidRPr="00DE7041">
              <w:t xml:space="preserve">чебного центра является военно-патриотическое воспитание молодежи. </w:t>
            </w:r>
            <w:r>
              <w:t>Здесь п</w:t>
            </w:r>
            <w:r w:rsidRPr="00DE7041">
              <w:t xml:space="preserve">роходят обучение и тренировки по нескольким видам спорта – рукопашный бой, пулевая и тактическая стрельба, </w:t>
            </w:r>
            <w:proofErr w:type="spellStart"/>
            <w:r w:rsidRPr="00DE7041">
              <w:t>лазертаг</w:t>
            </w:r>
            <w:proofErr w:type="spellEnd"/>
            <w:r w:rsidRPr="00DE7041">
              <w:t xml:space="preserve">, </w:t>
            </w:r>
            <w:proofErr w:type="spellStart"/>
            <w:r w:rsidRPr="00DE7041">
              <w:t>пейнтбол</w:t>
            </w:r>
            <w:proofErr w:type="spellEnd"/>
            <w:r w:rsidRPr="00DE7041">
              <w:t xml:space="preserve">. </w:t>
            </w:r>
            <w:r>
              <w:t xml:space="preserve">Центр </w:t>
            </w:r>
            <w:proofErr w:type="spellStart"/>
            <w:r>
              <w:t>о</w:t>
            </w:r>
            <w:r w:rsidRPr="00DE7041">
              <w:t>рганизу</w:t>
            </w:r>
            <w:r>
              <w:t>ет</w:t>
            </w:r>
            <w:r w:rsidRPr="00DE7041">
              <w:t>я</w:t>
            </w:r>
            <w:proofErr w:type="spellEnd"/>
            <w:r w:rsidRPr="00DE7041">
              <w:t xml:space="preserve"> военно-патриотические сборы  «Застава», проводит смен</w:t>
            </w:r>
            <w:r>
              <w:t>у</w:t>
            </w:r>
            <w:r w:rsidRPr="00DE7041">
              <w:t xml:space="preserve"> «Патриот» для трудных подростков.</w:t>
            </w:r>
          </w:p>
          <w:p w:rsidR="00295E8D" w:rsidRPr="008E4850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DE7041">
              <w:t>В прошлом году организация получила грант президента РФ на организацию работы с подрастающим поколением. Кстати, занятия с ребятами из детских домов проходят бесплатно.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184944">
              <w:t>Об информации о деятельности Общественной молодежной палаты при Магнитогорском городском Собрании депутатов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t xml:space="preserve">Комиссия по социальной политике 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Кожаев</w:t>
            </w:r>
            <w:proofErr w:type="spellEnd"/>
            <w:r w:rsidRPr="008E4850">
              <w:rPr>
                <w:b/>
              </w:rPr>
              <w:t xml:space="preserve"> Е.К.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Савельев Д.С.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>
              <w:t xml:space="preserve">В соответствии с Положением об </w:t>
            </w:r>
            <w:r w:rsidRPr="00184944">
              <w:t>Общественной молодежной палат</w:t>
            </w:r>
            <w:r>
              <w:t>е</w:t>
            </w:r>
            <w:r w:rsidRPr="00184944">
              <w:t xml:space="preserve"> при </w:t>
            </w:r>
            <w:r>
              <w:t xml:space="preserve">МГСД Собрание  заслушивает отчет о деятельности палаты. </w:t>
            </w:r>
          </w:p>
          <w:p w:rsidR="00295E8D" w:rsidRPr="008E4850" w:rsidRDefault="00295E8D" w:rsidP="002453B2">
            <w:pPr>
              <w:ind w:firstLine="709"/>
              <w:jc w:val="both"/>
            </w:pPr>
            <w:r>
              <w:t xml:space="preserve">Председатель ОМП Денис Савельев расскажет о работе палаты в течение восьмого созыва, то есть с ноября 2020 по ноябрь 2022 года. 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BE6048">
              <w:t xml:space="preserve">Об утверждении состава Общественной молодежной </w:t>
            </w:r>
            <w:r w:rsidRPr="00BE6048">
              <w:lastRenderedPageBreak/>
              <w:t>палаты при Магнитогорском городском Собрании депутатов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lastRenderedPageBreak/>
              <w:t xml:space="preserve">Комиссия по </w:t>
            </w:r>
            <w:r w:rsidRPr="008E4850">
              <w:lastRenderedPageBreak/>
              <w:t xml:space="preserve">социальной политике 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Кожаев</w:t>
            </w:r>
            <w:proofErr w:type="spellEnd"/>
            <w:r w:rsidRPr="008E4850">
              <w:rPr>
                <w:b/>
              </w:rPr>
              <w:t xml:space="preserve"> Е.К.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lastRenderedPageBreak/>
              <w:t>Савельев Д.С.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 w:rsidRPr="00BE6048">
              <w:lastRenderedPageBreak/>
              <w:t xml:space="preserve">Общественная молодежная палата при Магнитогорском городском Собрании создана в декабре 2009 года. В настоящее время </w:t>
            </w:r>
            <w:r>
              <w:t>завершает работу восьмой</w:t>
            </w:r>
            <w:r w:rsidRPr="00BE6048">
              <w:t xml:space="preserve"> созыв. </w:t>
            </w:r>
            <w:r>
              <w:t>А значит, пришло время формировать новый состав палаты.</w:t>
            </w:r>
          </w:p>
          <w:p w:rsidR="00295E8D" w:rsidRDefault="00295E8D" w:rsidP="002453B2">
            <w:pPr>
              <w:ind w:firstLine="709"/>
              <w:jc w:val="both"/>
            </w:pPr>
            <w:r>
              <w:t xml:space="preserve">Предполагается, что в палате следующего созыва будут работать 20 активных молодых людей, представляющих различные молодежные организации, например, Молодую гвардию «Единой России», Союз молодых металлургов, «Волонтеры Победы, другие. </w:t>
            </w:r>
          </w:p>
          <w:p w:rsidR="00295E8D" w:rsidRPr="008E4850" w:rsidRDefault="00295E8D" w:rsidP="002453B2">
            <w:pPr>
              <w:ind w:firstLine="709"/>
              <w:jc w:val="both"/>
            </w:pPr>
            <w:r>
              <w:t>Напомним, что о</w:t>
            </w:r>
            <w:r w:rsidRPr="00BE6048">
              <w:t xml:space="preserve">сновные задачи </w:t>
            </w:r>
            <w:r>
              <w:t xml:space="preserve">ОМП - </w:t>
            </w:r>
            <w:r w:rsidRPr="00BE6048">
              <w:t xml:space="preserve">развитие молодежного парламентаризма, вовлечение молодежи в общественную жизнь города. 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proofErr w:type="gramStart"/>
            <w:r w:rsidRPr="008E4850">
              <w:t>О внесении изменений в Положение о проведении Турнира по футболу среди дворовых команд</w:t>
            </w:r>
            <w:proofErr w:type="gramEnd"/>
            <w:r w:rsidRPr="008E4850">
              <w:t xml:space="preserve"> </w:t>
            </w:r>
            <w:r>
              <w:t>н</w:t>
            </w:r>
            <w:r w:rsidRPr="008E4850">
              <w:t>а Кубок Магнитогорского городского Собрания депутатов, утвержденное Решением Магнитогорского городского Собрания депутатов от 19 декабря 2017 года №192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t xml:space="preserve">Комиссия по социальной политике 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Кожаев</w:t>
            </w:r>
            <w:proofErr w:type="spellEnd"/>
            <w:r w:rsidRPr="008E4850">
              <w:rPr>
                <w:b/>
              </w:rPr>
              <w:t xml:space="preserve"> Е.К.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Кожаев</w:t>
            </w:r>
            <w:proofErr w:type="spellEnd"/>
            <w:r w:rsidRPr="008E4850">
              <w:t xml:space="preserve"> Е.К.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 w:rsidRPr="00705691">
              <w:t xml:space="preserve">Изменения </w:t>
            </w:r>
            <w:r>
              <w:t>вносятся исходя из</w:t>
            </w:r>
            <w:r w:rsidRPr="00705691">
              <w:t xml:space="preserve"> практик</w:t>
            </w:r>
            <w:r>
              <w:t>и проведения турнира, уравниваются условия участия для всех команд.</w:t>
            </w:r>
          </w:p>
          <w:p w:rsidR="00295E8D" w:rsidRDefault="00295E8D" w:rsidP="002453B2">
            <w:pPr>
              <w:ind w:firstLine="709"/>
              <w:jc w:val="both"/>
            </w:pPr>
            <w:r>
              <w:t xml:space="preserve">В частности, уточняется, что в турнире участвуют именно дворовые команды, к участию в соревнованиях не допускаются команды </w:t>
            </w:r>
            <w:r w:rsidRPr="00137C40">
              <w:t>специализированных детско-юношеских спортивных школ и детско-юношеских спортивных школ олимпийского резерва</w:t>
            </w:r>
            <w:r>
              <w:t>.</w:t>
            </w:r>
          </w:p>
          <w:p w:rsidR="00295E8D" w:rsidRDefault="00295E8D" w:rsidP="002453B2">
            <w:pPr>
              <w:ind w:firstLine="709"/>
              <w:jc w:val="both"/>
            </w:pPr>
            <w:r w:rsidRPr="00137C40">
              <w:t>Отдельные игроки</w:t>
            </w:r>
            <w:r>
              <w:t>, но не более двух</w:t>
            </w:r>
            <w:r w:rsidRPr="00137C40">
              <w:t xml:space="preserve"> человек</w:t>
            </w:r>
            <w:r>
              <w:t>,</w:t>
            </w:r>
            <w:r w:rsidRPr="00137C40">
              <w:t xml:space="preserve"> занимающиеся в спортивных школах, допускаются к участию в </w:t>
            </w:r>
            <w:r>
              <w:t>т</w:t>
            </w:r>
            <w:r w:rsidRPr="00137C40">
              <w:t>урнире в составе команды</w:t>
            </w:r>
            <w:r>
              <w:t>.</w:t>
            </w:r>
          </w:p>
          <w:p w:rsidR="00295E8D" w:rsidRPr="00D24D44" w:rsidRDefault="00295E8D" w:rsidP="002453B2">
            <w:pPr>
              <w:ind w:firstLine="709"/>
              <w:jc w:val="both"/>
            </w:pPr>
            <w:r w:rsidRPr="00D24D44">
              <w:rPr>
                <w:b/>
              </w:rPr>
              <w:t>СПРАВКА:</w:t>
            </w:r>
            <w:r>
              <w:t xml:space="preserve"> в этом году прошёл уже </w:t>
            </w:r>
            <w:r w:rsidRPr="00D24D44">
              <w:t>XVI футбольный турнир среди дворовых команд на Кубок городского Собрания. Соревнования посвящены памяти бывшего старшего тренера футбольного клуба «Магнитогорск» Александра Андреевича Гурова, который свою жизнь посвятил развитию футбола в Магнитогорске. </w:t>
            </w:r>
          </w:p>
          <w:p w:rsidR="00295E8D" w:rsidRPr="00D24D44" w:rsidRDefault="00295E8D" w:rsidP="002453B2">
            <w:pPr>
              <w:ind w:firstLine="709"/>
              <w:jc w:val="both"/>
            </w:pPr>
            <w:r w:rsidRPr="00D24D44">
              <w:t xml:space="preserve">В </w:t>
            </w:r>
            <w:r>
              <w:t>турнире</w:t>
            </w:r>
            <w:r w:rsidRPr="00D24D44">
              <w:t xml:space="preserve"> участвовали десять дворовых команд из разных районов города. Финальные игры проходили на поле Центрального стадиона. Кубок городского Собрания завоевала команда </w:t>
            </w:r>
            <w:r w:rsidRPr="00D24D44">
              <w:rPr>
                <w:bCs/>
              </w:rPr>
              <w:t>«137 микрорайон»</w:t>
            </w:r>
            <w:r w:rsidRPr="00D24D44">
              <w:t xml:space="preserve">, второе место </w:t>
            </w:r>
            <w:r>
              <w:t xml:space="preserve">получила </w:t>
            </w:r>
            <w:r w:rsidRPr="00D24D44">
              <w:t>команда </w:t>
            </w:r>
            <w:r w:rsidRPr="00D24D44">
              <w:rPr>
                <w:bCs/>
              </w:rPr>
              <w:t xml:space="preserve">«Гайдаровец», </w:t>
            </w:r>
            <w:r w:rsidRPr="00D24D44">
              <w:t> третье - команда </w:t>
            </w:r>
            <w:r w:rsidRPr="00D24D44">
              <w:rPr>
                <w:bCs/>
              </w:rPr>
              <w:t>«БАРС».</w:t>
            </w:r>
            <w:r w:rsidRPr="00D24D44">
              <w:t> </w:t>
            </w:r>
          </w:p>
          <w:p w:rsidR="00295E8D" w:rsidRPr="008E4850" w:rsidRDefault="00295E8D" w:rsidP="002453B2">
            <w:pPr>
              <w:ind w:firstLine="709"/>
              <w:jc w:val="both"/>
            </w:pPr>
            <w:r w:rsidRPr="00D24D44">
              <w:t>В спортивном празднике приняли участие известные футболисты Магнитогорска </w:t>
            </w:r>
            <w:r w:rsidRPr="00D24D44">
              <w:rPr>
                <w:bCs/>
              </w:rPr>
              <w:t xml:space="preserve">Валерий Николаевич </w:t>
            </w:r>
            <w:proofErr w:type="spellStart"/>
            <w:r w:rsidRPr="00D24D44">
              <w:rPr>
                <w:bCs/>
              </w:rPr>
              <w:t>Турлыгин</w:t>
            </w:r>
            <w:proofErr w:type="spellEnd"/>
            <w:r w:rsidRPr="00D24D44">
              <w:t> и </w:t>
            </w:r>
            <w:r w:rsidRPr="00D24D44">
              <w:rPr>
                <w:bCs/>
              </w:rPr>
              <w:t xml:space="preserve">Петр Иванович </w:t>
            </w:r>
            <w:proofErr w:type="spellStart"/>
            <w:r w:rsidRPr="00D24D44">
              <w:rPr>
                <w:bCs/>
              </w:rPr>
              <w:t>Пилихоца</w:t>
            </w:r>
            <w:proofErr w:type="spellEnd"/>
            <w:r w:rsidRPr="00D24D44">
              <w:t>. 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proofErr w:type="gramStart"/>
            <w:r w:rsidRPr="008E4850">
              <w:t>О внесении изменений в Положение о проведении Турнира по хоккею с шайбой</w:t>
            </w:r>
            <w:proofErr w:type="gramEnd"/>
            <w:r w:rsidRPr="008E4850">
              <w:t xml:space="preserve"> среди дворовых команд на Кубок Магнитогорского городского Собрания депутатов, утвержденное Решением Магнитогорского городского Собрания депутатов от 26 ноября 2013 года №231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t xml:space="preserve">Комиссия по социальной политике 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Кожаев</w:t>
            </w:r>
            <w:proofErr w:type="spellEnd"/>
            <w:r w:rsidRPr="008E4850">
              <w:rPr>
                <w:b/>
              </w:rPr>
              <w:t xml:space="preserve"> Е.К.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Кожаев</w:t>
            </w:r>
            <w:proofErr w:type="spellEnd"/>
            <w:r w:rsidRPr="008E4850">
              <w:t xml:space="preserve"> Е.К.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 w:rsidRPr="00705691">
              <w:t xml:space="preserve">Изменения </w:t>
            </w:r>
            <w:r>
              <w:t>вносятся исходя из</w:t>
            </w:r>
            <w:r w:rsidRPr="00705691">
              <w:t xml:space="preserve"> практик</w:t>
            </w:r>
            <w:r>
              <w:t>и проведения турнира, уравниваются условия участия для всех команд.</w:t>
            </w:r>
          </w:p>
          <w:p w:rsidR="00295E8D" w:rsidRDefault="00295E8D" w:rsidP="002453B2">
            <w:pPr>
              <w:tabs>
                <w:tab w:val="left" w:pos="1292"/>
              </w:tabs>
              <w:spacing w:line="235" w:lineRule="auto"/>
              <w:ind w:firstLine="709"/>
              <w:jc w:val="both"/>
            </w:pPr>
            <w:r>
              <w:t xml:space="preserve">В частности, уточняется, что к участию в соревнованиях допускаются детские дворовые команды, команды спортивных клубов по месту жительства, образовательных организаций дополнительного образования физкультурно-спортивной направленности. </w:t>
            </w:r>
          </w:p>
          <w:p w:rsidR="00295E8D" w:rsidRDefault="00295E8D" w:rsidP="002453B2">
            <w:pPr>
              <w:ind w:firstLine="709"/>
              <w:jc w:val="both"/>
            </w:pPr>
            <w:r>
              <w:t xml:space="preserve">Не допускаются к играм команды </w:t>
            </w:r>
            <w:r w:rsidRPr="00137C40">
              <w:t>специализированных детско-юношеских спортивных школ и детско-юношеских спортивных школ олимпийского резерва</w:t>
            </w:r>
            <w:r>
              <w:t>.</w:t>
            </w:r>
          </w:p>
          <w:p w:rsidR="00295E8D" w:rsidRDefault="00295E8D" w:rsidP="002453B2">
            <w:pPr>
              <w:ind w:firstLine="709"/>
              <w:jc w:val="both"/>
            </w:pPr>
            <w:r w:rsidRPr="009726D0">
              <w:rPr>
                <w:b/>
              </w:rPr>
              <w:t xml:space="preserve">СПРАВКА: </w:t>
            </w:r>
            <w:r w:rsidR="00FB123B">
              <w:t>В</w:t>
            </w:r>
            <w:r w:rsidRPr="00C57F00">
              <w:t xml:space="preserve"> этом году турнир</w:t>
            </w:r>
            <w:r>
              <w:rPr>
                <w:b/>
              </w:rPr>
              <w:t xml:space="preserve"> </w:t>
            </w:r>
            <w:r w:rsidRPr="008E4850">
              <w:t>по хоккею с шайбой среди дворовых команд</w:t>
            </w:r>
            <w:r w:rsidR="00FB123B">
              <w:t xml:space="preserve">, проводимый городским Собранием, </w:t>
            </w:r>
            <w:r>
              <w:t xml:space="preserve">проходил 22-ый раз. Соревнования  называют Мемориалом Гусева, потому что они проводятся в память бывшего начальника ЖКО, </w:t>
            </w:r>
            <w:r w:rsidRPr="00C57F00">
              <w:lastRenderedPageBreak/>
              <w:t>энтузиаст</w:t>
            </w:r>
            <w:r>
              <w:t>а</w:t>
            </w:r>
            <w:r w:rsidRPr="00C57F00">
              <w:t xml:space="preserve"> развития детского дворового хоккея</w:t>
            </w:r>
            <w:r>
              <w:t xml:space="preserve"> </w:t>
            </w:r>
            <w:r w:rsidRPr="00C57F00">
              <w:t>Владимир</w:t>
            </w:r>
            <w:r>
              <w:t>а</w:t>
            </w:r>
            <w:r w:rsidRPr="00C57F00">
              <w:t xml:space="preserve"> Дмитриевич</w:t>
            </w:r>
            <w:r>
              <w:t>а</w:t>
            </w:r>
            <w:r w:rsidRPr="00C57F00">
              <w:t xml:space="preserve"> Гусев</w:t>
            </w:r>
            <w:r>
              <w:t>а.</w:t>
            </w:r>
          </w:p>
          <w:p w:rsidR="00295E8D" w:rsidRPr="008E4850" w:rsidRDefault="00295E8D" w:rsidP="002453B2">
            <w:pPr>
              <w:ind w:firstLine="709"/>
              <w:jc w:val="both"/>
            </w:pPr>
            <w:r>
              <w:t xml:space="preserve">В финальных играх, которые прошли на </w:t>
            </w:r>
            <w:r w:rsidRPr="00C57F00">
              <w:t xml:space="preserve">стадионе «Малыш», </w:t>
            </w:r>
            <w:r>
              <w:t>определились победители. О</w:t>
            </w:r>
            <w:r w:rsidRPr="00C57F00">
              <w:t xml:space="preserve">бладателем переходящего </w:t>
            </w:r>
            <w:r>
              <w:t>К</w:t>
            </w:r>
            <w:r w:rsidRPr="00C57F00">
              <w:t xml:space="preserve">убка стала команда </w:t>
            </w:r>
            <w:r>
              <w:t>«</w:t>
            </w:r>
            <w:r w:rsidRPr="00C57F00">
              <w:t>137 м</w:t>
            </w:r>
            <w:r>
              <w:t xml:space="preserve">икрорайон», второе место досталось </w:t>
            </w:r>
            <w:r w:rsidRPr="00C57F00">
              <w:t>команд</w:t>
            </w:r>
            <w:r>
              <w:t>е</w:t>
            </w:r>
            <w:r w:rsidRPr="00C57F00">
              <w:t xml:space="preserve"> </w:t>
            </w:r>
            <w:r>
              <w:t>«</w:t>
            </w:r>
            <w:r w:rsidRPr="00C57F00">
              <w:t>Орленок</w:t>
            </w:r>
            <w:r>
              <w:t>», а третьими стали «</w:t>
            </w:r>
            <w:r w:rsidRPr="00C57F00">
              <w:t>Дворовы</w:t>
            </w:r>
            <w:r>
              <w:t>е</w:t>
            </w:r>
            <w:r w:rsidRPr="00C57F00">
              <w:t xml:space="preserve"> волчата</w:t>
            </w:r>
            <w:r>
              <w:t>»</w:t>
            </w:r>
            <w:r w:rsidRPr="00C57F00">
              <w:t>. 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9D6079">
              <w:t>О внесении изменений в Положение о программе комплексного развития систем коммунальной инфраструктуры, программе комплексного развития транспортной инфраструктуры, программе комплексного развития социальной инфраструктуры города Магнитогорска, утвержденное Решением Магнитогорского городского Собрания депутатов от 27 февраля 2018 года №29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t xml:space="preserve">Комиссия по экономической политике 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Ширяев О.П.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Default="00295E8D" w:rsidP="002453B2">
            <w:pPr>
              <w:ind w:firstLine="709"/>
              <w:jc w:val="both"/>
            </w:pPr>
            <w:r>
              <w:t xml:space="preserve">Изменения уточняют порядок принятия проектов программ и изменений в программы. </w:t>
            </w:r>
          </w:p>
          <w:p w:rsidR="00295E8D" w:rsidRPr="008E4850" w:rsidRDefault="00295E8D" w:rsidP="002453B2">
            <w:pPr>
              <w:ind w:firstLine="709"/>
              <w:jc w:val="both"/>
            </w:pPr>
            <w:r>
              <w:t xml:space="preserve">Указывается, что в установленных нормативными правовыми актами случаях названные документы подлежат оценке регулирующего воздействия и экспертизе Контрольно-счетной палаты. Например, в случаях, когда проекты программ или изменения в них касаются расходных обязательств города, и (или) приводят к изменению доходов городского бюджета. 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E14519">
              <w:t>О внесении изменения в Положение о порядке организации и проведения публичных слушаний в городе Магнитогорске, утвержденное Решением Магнитогорского городского Собрания депутатов от 28 сентября 2021 года №208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391826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391826">
              <w:t xml:space="preserve">Документ принимается в связи с изменениями федерального законодательства. </w:t>
            </w:r>
          </w:p>
          <w:p w:rsidR="00295E8D" w:rsidRPr="00391826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391826">
              <w:t xml:space="preserve">У жителей нашего города появится возможность в ходе публичных слушаний, проводимых органами местного самоуправления с использованием портала </w:t>
            </w:r>
            <w:proofErr w:type="spellStart"/>
            <w:r w:rsidRPr="00391826">
              <w:t>Госуслуг</w:t>
            </w:r>
            <w:proofErr w:type="spellEnd"/>
            <w:r w:rsidRPr="00391826">
              <w:t xml:space="preserve">, знакомиться с документом, предоставлять свои замечания и предложения, а также узнавать результаты слушаний через портал. </w:t>
            </w:r>
          </w:p>
          <w:p w:rsidR="00295E8D" w:rsidRPr="008E4850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391826">
              <w:t xml:space="preserve">Согласно Постановлению Правительства РФ для организации и проведения публичных слушаний на портале </w:t>
            </w:r>
            <w:proofErr w:type="spellStart"/>
            <w:r w:rsidRPr="00391826">
              <w:t>Госуслуг</w:t>
            </w:r>
            <w:proofErr w:type="spellEnd"/>
            <w:r w:rsidRPr="00391826">
              <w:t xml:space="preserve"> используется Платформа обратной связи. На сайтах администрации города и городского Собрания для этого создаются специальные разделы.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 xml:space="preserve">О внесении изменения в Положение о реализации Закона Челябинской области </w:t>
            </w:r>
            <w:r>
              <w:t xml:space="preserve">«О </w:t>
            </w:r>
            <w:r w:rsidRPr="008E4850">
              <w:t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 на территории города Магнитогорска, утвержденное Решением Магнитогорского городского Собрания депутатов от 25 декабря 2020 года №212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 xml:space="preserve">О внесении изменения в пункт 36 Положения о реализации инициативных проектов в городе Магнитогорске, </w:t>
            </w:r>
            <w:proofErr w:type="gramStart"/>
            <w:r w:rsidRPr="008E4850">
              <w:t>утвержденное</w:t>
            </w:r>
            <w:proofErr w:type="gramEnd"/>
            <w:r w:rsidRPr="008E4850">
              <w:t xml:space="preserve"> Решением Магнитогорского городского Собрания депутатов от 25 декабря 2020 года №213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514B78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514B78">
              <w:rPr>
                <w:b/>
              </w:rPr>
              <w:t>По вопросам 16 и 17.</w:t>
            </w:r>
            <w:r w:rsidRPr="00514B78">
              <w:t xml:space="preserve"> Для жителей, предложивших инициативный проект, предусматривается возможность предоставлять в уполномоченный орган администрации города презентационный материал</w:t>
            </w:r>
            <w:r>
              <w:t>, например</w:t>
            </w:r>
            <w:r w:rsidRPr="00514B78">
              <w:t xml:space="preserve">, текстовые файлы, </w:t>
            </w:r>
            <w:proofErr w:type="spellStart"/>
            <w:r w:rsidRPr="00514B78">
              <w:t>видеофайлы</w:t>
            </w:r>
            <w:proofErr w:type="spellEnd"/>
            <w:r w:rsidRPr="00514B78">
              <w:t xml:space="preserve"> и </w:t>
            </w:r>
            <w:proofErr w:type="gramStart"/>
            <w:r>
              <w:t>другое</w:t>
            </w:r>
            <w:proofErr w:type="gramEnd"/>
            <w:r w:rsidRPr="00514B78">
              <w:t xml:space="preserve"> за 2 рабочих дня до заседания конкурсной комиссии по отбору инициативных проектов</w:t>
            </w:r>
            <w:r>
              <w:t xml:space="preserve">, а </w:t>
            </w:r>
            <w:r>
              <w:lastRenderedPageBreak/>
              <w:t>также</w:t>
            </w:r>
            <w:r w:rsidRPr="00514B78">
              <w:t xml:space="preserve"> выступить с докладом </w:t>
            </w:r>
            <w:r>
              <w:t xml:space="preserve">продолжительностью </w:t>
            </w:r>
            <w:r w:rsidRPr="00514B78">
              <w:t xml:space="preserve">не более 5 минут на заседании комиссии. За степень проработанности проекта начисляются повышенные баллы. </w:t>
            </w:r>
          </w:p>
          <w:p w:rsidR="00295E8D" w:rsidRPr="008E4850" w:rsidRDefault="00295E8D" w:rsidP="002453B2">
            <w:pPr>
              <w:pStyle w:val="rtejustify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514B78">
              <w:t>Практика презентации своего проекта становится довольно распространенной.  В апреле этого года на рассмотрение конкурсной комиссии было представлено 53 проекта, из которых 8 сопровождались выступлениями с демонстрацией презентационного материала.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 внесении изменений в Порядок организации доступа к информации о деятельности органов местного самоуправления города Магнитогорска, утвержденный Решением Магнитогорского городского Собрания депутатов от 25 июня 2019 года №92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Об утверждении новой редакции Положения об официальном сайте Магнитогорского городского Собрания депутатов в информационно-телекоммуникационной сети «Интернет»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Об утверждении Перечня информации о деятельности Магнитогорского городского Собрания депутатов</w:t>
            </w:r>
            <w:r>
              <w:t>, размещаемой на официальном сайте</w:t>
            </w:r>
            <w:r w:rsidRPr="008E4850">
              <w:t xml:space="preserve"> Магнитогорского городского Собрания депутатов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3E6DE5" w:rsidRDefault="00295E8D" w:rsidP="002453B2">
            <w:pPr>
              <w:ind w:firstLine="709"/>
              <w:jc w:val="both"/>
            </w:pPr>
            <w:r w:rsidRPr="004E3C34">
              <w:rPr>
                <w:b/>
              </w:rPr>
              <w:t>По вопросам 18-20.</w:t>
            </w:r>
            <w:r w:rsidRPr="003E6DE5">
              <w:t xml:space="preserve"> Принятие этих документов обусловлено изменениями федерального законодательства. </w:t>
            </w:r>
          </w:p>
          <w:p w:rsidR="00295E8D" w:rsidRPr="003F7920" w:rsidRDefault="00295E8D" w:rsidP="002453B2">
            <w:pPr>
              <w:ind w:firstLine="709"/>
              <w:jc w:val="both"/>
            </w:pPr>
            <w:r w:rsidRPr="003F7920">
              <w:t>Так, с 1 декабря органы местного самоуправления информацию о своей деятельности будут размещать на созданных ими официальных страницах в информационных системах, определенных Правительством страны.</w:t>
            </w:r>
            <w:r w:rsidRPr="004E3C34">
              <w:t xml:space="preserve"> В качестве таких информационных систем определены </w:t>
            </w:r>
            <w:proofErr w:type="spellStart"/>
            <w:r w:rsidRPr="004E3C34">
              <w:t>ВКонтакте</w:t>
            </w:r>
            <w:proofErr w:type="spellEnd"/>
            <w:r w:rsidRPr="004E3C34">
              <w:t xml:space="preserve"> и Одноклассники.</w:t>
            </w:r>
          </w:p>
          <w:p w:rsidR="00295E8D" w:rsidRPr="008E4850" w:rsidRDefault="00295E8D" w:rsidP="002453B2">
            <w:pPr>
              <w:ind w:firstLine="709"/>
              <w:jc w:val="both"/>
            </w:pPr>
            <w:r w:rsidRPr="004E3C34">
              <w:t xml:space="preserve">Официальные сайты и страницы в социальных сетях должны осуществлять взаимодействие с порталом </w:t>
            </w:r>
            <w:proofErr w:type="spellStart"/>
            <w:r w:rsidRPr="004E3C34">
              <w:t>Госуслуг</w:t>
            </w:r>
            <w:proofErr w:type="spellEnd"/>
            <w:r w:rsidRPr="004E3C34">
              <w:t>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1851A7" w:rsidRDefault="00295E8D" w:rsidP="002453B2">
            <w:pPr>
              <w:jc w:val="both"/>
            </w:pPr>
            <w:r w:rsidRPr="001851A7">
              <w:t>О внесении изменений в Положение о гербе города Магнитогорска, утвержденное Решением Магнитогорского городского Собрания депутатов от 26 октября 2010 года №190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3E6DE5" w:rsidRDefault="00295E8D" w:rsidP="002453B2">
            <w:pPr>
              <w:ind w:firstLine="709"/>
              <w:jc w:val="both"/>
            </w:pPr>
            <w:r w:rsidRPr="003E6DE5">
              <w:t>Вопрос связан с изменением избирательного законодательства и как следствие – упразднением городской избирательной комиссии, которая могла использовать герб города в своей деятельности.</w:t>
            </w:r>
          </w:p>
          <w:p w:rsidR="00295E8D" w:rsidRPr="008E4850" w:rsidRDefault="00295E8D" w:rsidP="002453B2">
            <w:pPr>
              <w:ind w:firstLine="709"/>
              <w:jc w:val="both"/>
            </w:pPr>
            <w:r w:rsidRPr="003E6DE5">
              <w:t xml:space="preserve">Кроме того, в связи с тем, что федеральным законодательством введено понятие официальной страницы органов местного самоуправления в социальных сетях, в Положении уточняется возможность использования изображения </w:t>
            </w:r>
            <w:r>
              <w:t>герба города на таких страницах</w:t>
            </w:r>
            <w:r w:rsidRPr="003E6DE5">
              <w:t>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proofErr w:type="gramStart"/>
            <w:r w:rsidRPr="0064732A">
              <w:t>Об утверждении новой редакции Положения о сообщении отдельными категориями лиц о получении подарка в связи с протокольными мероприятиями</w:t>
            </w:r>
            <w:proofErr w:type="gramEnd"/>
            <w:r w:rsidRPr="0064732A">
      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8E4850" w:rsidRDefault="00295E8D" w:rsidP="002453B2">
            <w:pPr>
              <w:ind w:firstLine="709"/>
              <w:jc w:val="both"/>
            </w:pPr>
            <w:r w:rsidRPr="003F7920">
              <w:t>Новая редакция</w:t>
            </w:r>
            <w:r>
              <w:t xml:space="preserve"> документа</w:t>
            </w:r>
            <w:r w:rsidRPr="003F7920">
              <w:t xml:space="preserve">, также как и ранее действующая с 2014 года редакция, определяет порядок действия отдельных категорий лиц, если они в связи с протокольными мероприятиями, другими официальными мероприятиями или в </w:t>
            </w:r>
            <w:r w:rsidRPr="003F7920">
              <w:lastRenderedPageBreak/>
              <w:t>служебной командировке получили подарок</w:t>
            </w:r>
            <w:r>
              <w:t xml:space="preserve">. А </w:t>
            </w:r>
            <w:r w:rsidRPr="003F7920">
              <w:t xml:space="preserve">также </w:t>
            </w:r>
            <w:r>
              <w:t xml:space="preserve">определяет </w:t>
            </w:r>
            <w:r w:rsidRPr="003F7920">
              <w:t>порядок сдачи и оценки подарка, его реализации (выкупа) и зачисления средств, вырученных от его реализации. Нововведения  носят  уточняющий характер и исключают неоднозначное толкование норм Положения.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C929CD">
              <w:t>О внесении изменения в статью 18 Регламента Магнитогорского городского Собрания депутатов, утвержденного Решением Магнитогорского городского Собрания депутатов от 23 декабря 2009 года №220</w:t>
            </w:r>
            <w:r w:rsidRPr="008E4850">
              <w:t xml:space="preserve"> 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8E4850" w:rsidRDefault="00295E8D" w:rsidP="002453B2">
            <w:pPr>
              <w:ind w:firstLine="709"/>
              <w:jc w:val="both"/>
            </w:pPr>
            <w:r w:rsidRPr="009275BD">
              <w:t>Изменение касается упразднения городской избирательной комиссии и возложения ее функций на территориальную избирательную комиссию Ленинского района.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99681C">
              <w:t xml:space="preserve">О признании </w:t>
            </w:r>
            <w:proofErr w:type="gramStart"/>
            <w:r w:rsidRPr="0099681C">
              <w:t>утратившими</w:t>
            </w:r>
            <w:proofErr w:type="gramEnd"/>
            <w:r w:rsidRPr="0099681C">
              <w:t xml:space="preserve"> силу некоторых правовых актов Магнитогорского городского Собрания депутатов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законодательству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Иванов В.В.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Уржумова</w:t>
            </w:r>
            <w:proofErr w:type="spellEnd"/>
            <w:r w:rsidRPr="008E4850">
              <w:t xml:space="preserve"> Е.И.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8E4850" w:rsidRDefault="00295E8D" w:rsidP="002453B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B13F8B">
              <w:t>Традиционно признаются утратившими силу ранее действовавшие документы в связи с принятыми</w:t>
            </w:r>
            <w:r>
              <w:t xml:space="preserve"> Р</w:t>
            </w:r>
            <w:r w:rsidRPr="00B13F8B">
              <w:t>ешениями на этом заседании городского Собрания. Это обеспечивает актуализацию нормативно-правовой</w:t>
            </w:r>
            <w:r>
              <w:t xml:space="preserve"> базы МГСД.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 предоставлении льгот по родительской плате за услуги учреждений дополнительного образования, подведомственных управлению культуры администрации города Магнитогорска, в 2023 году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t xml:space="preserve">Комиссия по социальной политике 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proofErr w:type="spellStart"/>
            <w:r w:rsidRPr="008E4850">
              <w:rPr>
                <w:b/>
              </w:rPr>
              <w:t>Кожаев</w:t>
            </w:r>
            <w:proofErr w:type="spellEnd"/>
            <w:r w:rsidRPr="008E4850">
              <w:rPr>
                <w:b/>
              </w:rPr>
              <w:t xml:space="preserve"> Е.К.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Кудрявцева М.И.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FC3FB9" w:rsidRDefault="00295E8D" w:rsidP="002453B2">
            <w:pPr>
              <w:ind w:firstLine="709"/>
              <w:jc w:val="both"/>
            </w:pPr>
            <w:r w:rsidRPr="00FC3FB9">
              <w:t>Предлагается с 1 января пролонгировать льготы по плате за обучение детей в муниципальных учреждениях дополнительного образования, подведомственных управлению культуры.</w:t>
            </w:r>
          </w:p>
          <w:p w:rsidR="00295E8D" w:rsidRDefault="00295E8D" w:rsidP="002453B2">
            <w:pPr>
              <w:ind w:firstLine="709"/>
              <w:jc w:val="both"/>
            </w:pPr>
            <w:r>
              <w:t xml:space="preserve">Освободить от платы за обучение </w:t>
            </w:r>
            <w:r w:rsidRPr="00FC3FB9">
              <w:rPr>
                <w:b/>
              </w:rPr>
              <w:t>в размере 100 процентов</w:t>
            </w:r>
            <w:r>
              <w:t>:</w:t>
            </w:r>
          </w:p>
          <w:p w:rsidR="00295E8D" w:rsidRDefault="00295E8D" w:rsidP="002453B2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709"/>
              <w:jc w:val="both"/>
            </w:pPr>
            <w:r>
              <w:t>-</w:t>
            </w:r>
            <w:r>
              <w:tab/>
              <w:t>детей-сирот и детей, оставшихся без попечения родителей;</w:t>
            </w:r>
          </w:p>
          <w:p w:rsidR="00295E8D" w:rsidRDefault="00295E8D" w:rsidP="002453B2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709"/>
              <w:jc w:val="both"/>
            </w:pPr>
            <w:r>
              <w:t>-</w:t>
            </w:r>
            <w:r>
              <w:tab/>
              <w:t>детей-инвалидов.</w:t>
            </w:r>
          </w:p>
          <w:p w:rsidR="00295E8D" w:rsidRDefault="00295E8D" w:rsidP="002453B2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</w:pPr>
            <w:r>
              <w:t xml:space="preserve">Освободить от платы за обучение </w:t>
            </w:r>
            <w:r w:rsidRPr="00FC3FB9">
              <w:rPr>
                <w:b/>
              </w:rPr>
              <w:t>в размере 50 процентов</w:t>
            </w:r>
            <w:r>
              <w:t>:</w:t>
            </w:r>
          </w:p>
          <w:p w:rsidR="00295E8D" w:rsidRDefault="00295E8D" w:rsidP="002453B2">
            <w:pPr>
              <w:pStyle w:val="a3"/>
              <w:tabs>
                <w:tab w:val="left" w:pos="851"/>
                <w:tab w:val="left" w:pos="1134"/>
              </w:tabs>
              <w:spacing w:before="0" w:beforeAutospacing="0" w:after="0" w:afterAutospacing="0"/>
              <w:ind w:firstLine="709"/>
              <w:jc w:val="both"/>
            </w:pPr>
            <w:r>
              <w:t>-</w:t>
            </w:r>
            <w:r>
              <w:tab/>
              <w:t>детей, являющихся лауреатами конкурсов, активными участниками городских мероприятий;</w:t>
            </w:r>
          </w:p>
          <w:p w:rsidR="00295E8D" w:rsidRDefault="00295E8D" w:rsidP="002453B2">
            <w:pPr>
              <w:pStyle w:val="a3"/>
              <w:tabs>
                <w:tab w:val="left" w:pos="851"/>
                <w:tab w:val="left" w:pos="1134"/>
              </w:tabs>
              <w:spacing w:before="0" w:beforeAutospacing="0" w:after="0" w:afterAutospacing="0"/>
              <w:ind w:firstLine="709"/>
              <w:jc w:val="both"/>
            </w:pPr>
            <w:r>
              <w:t>-</w:t>
            </w:r>
            <w:r>
              <w:tab/>
              <w:t>детей из неполных (состоящих из одного родителя) малообеспеченных семей;</w:t>
            </w:r>
          </w:p>
          <w:p w:rsidR="00295E8D" w:rsidRDefault="00295E8D" w:rsidP="002453B2">
            <w:pPr>
              <w:pStyle w:val="a3"/>
              <w:tabs>
                <w:tab w:val="left" w:pos="851"/>
                <w:tab w:val="left" w:pos="1134"/>
              </w:tabs>
              <w:spacing w:before="0" w:beforeAutospacing="0" w:after="0" w:afterAutospacing="0"/>
              <w:ind w:firstLine="709"/>
              <w:jc w:val="both"/>
            </w:pPr>
            <w:r>
              <w:t>-</w:t>
            </w:r>
            <w:r>
              <w:tab/>
              <w:t>детей из многодетных малообеспеченных семей;</w:t>
            </w:r>
          </w:p>
          <w:p w:rsidR="00295E8D" w:rsidRPr="008E4850" w:rsidRDefault="00295E8D" w:rsidP="002453B2">
            <w:pPr>
              <w:pStyle w:val="a3"/>
              <w:tabs>
                <w:tab w:val="left" w:pos="851"/>
                <w:tab w:val="left" w:pos="1134"/>
              </w:tabs>
              <w:spacing w:before="0" w:beforeAutospacing="0" w:after="0" w:afterAutospacing="0"/>
              <w:ind w:firstLine="709"/>
              <w:jc w:val="both"/>
            </w:pPr>
            <w:r>
              <w:t>-</w:t>
            </w:r>
            <w:r>
              <w:tab/>
              <w:t>детей из малообеспеченных семей, в которых один или оба родителя – инвалиды.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 внесении изменений в Реестр наказов избирателей депутатам Магнитогорского городского Собрания депутатов, утвержденный Решением Магнитогорского городского Собрания депутатов от 26 октября 2021 года №231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>
            <w:pPr>
              <w:ind w:right="-103"/>
            </w:pPr>
            <w:r w:rsidRPr="008E4850">
              <w:t>Комиссия по Регламенту</w:t>
            </w:r>
          </w:p>
          <w:p w:rsidR="00295E8D" w:rsidRPr="008E4850" w:rsidRDefault="00295E8D" w:rsidP="002453B2">
            <w:pPr>
              <w:ind w:right="-103"/>
              <w:rPr>
                <w:b/>
              </w:rPr>
            </w:pPr>
            <w:r w:rsidRPr="008E4850">
              <w:rPr>
                <w:b/>
              </w:rPr>
              <w:t>Токарев В.И.</w:t>
            </w:r>
          </w:p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r w:rsidRPr="008E4850">
              <w:t>Токарев В.И.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295E8D" w:rsidRPr="00AB02C7" w:rsidRDefault="00295E8D" w:rsidP="002453B2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t>Предлагается внести</w:t>
            </w:r>
            <w:r w:rsidRPr="00AB02C7">
              <w:t xml:space="preserve"> изменения в Реестр наказов по четырём округам. Это связано, в основном, с корректировкой стоимости работ после проведения конкурсных процедур.</w:t>
            </w:r>
          </w:p>
          <w:p w:rsidR="00295E8D" w:rsidRPr="008E4850" w:rsidRDefault="00295E8D" w:rsidP="002453B2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t>Надо отметить</w:t>
            </w:r>
            <w:r w:rsidRPr="00AB02C7">
              <w:t>, что в этом году ситуация с выполнением мероприятий наказов выглядит значительно лучше, чем в прошлом. Об этом говорит тот факт, что на сегодня большая часть всего объёма наказов не только выполнена, но и профинансирована. Менее трети наказов, где работы выполнены, но финансирование пока не прошло. К концу года все  конкурсные процедуры будут закончены.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96" w:type="pct"/>
            <w:tcBorders>
              <w:bottom w:val="single" w:sz="4" w:space="0" w:color="auto"/>
            </w:tcBorders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О законотворческой деятельности Государственной Думы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/>
        </w:tc>
        <w:tc>
          <w:tcPr>
            <w:tcW w:w="911" w:type="pct"/>
            <w:shd w:val="clear" w:color="auto" w:fill="auto"/>
          </w:tcPr>
          <w:p w:rsidR="00295E8D" w:rsidRPr="008E4850" w:rsidRDefault="00295E8D" w:rsidP="002453B2">
            <w:pPr>
              <w:ind w:right="-104"/>
            </w:pPr>
            <w:proofErr w:type="spellStart"/>
            <w:r w:rsidRPr="008E4850">
              <w:t>Вяткин</w:t>
            </w:r>
            <w:proofErr w:type="spellEnd"/>
            <w:r w:rsidRPr="008E4850">
              <w:t xml:space="preserve"> Д.Ф.</w:t>
            </w:r>
          </w:p>
        </w:tc>
      </w:tr>
      <w:tr w:rsidR="00295E8D" w:rsidRPr="008E4850" w:rsidTr="002453B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0" w:type="pct"/>
            <w:shd w:val="clear" w:color="auto" w:fill="auto"/>
          </w:tcPr>
          <w:p w:rsidR="00295E8D" w:rsidRPr="008E4850" w:rsidRDefault="00295E8D" w:rsidP="00295E8D">
            <w:pPr>
              <w:numPr>
                <w:ilvl w:val="0"/>
                <w:numId w:val="1"/>
              </w:numPr>
              <w:ind w:left="0" w:right="-112" w:firstLine="0"/>
              <w:rPr>
                <w:b/>
                <w:bCs/>
              </w:rPr>
            </w:pPr>
          </w:p>
        </w:tc>
        <w:tc>
          <w:tcPr>
            <w:tcW w:w="2996" w:type="pct"/>
            <w:shd w:val="clear" w:color="auto" w:fill="auto"/>
          </w:tcPr>
          <w:p w:rsidR="00295E8D" w:rsidRPr="008E4850" w:rsidRDefault="00295E8D" w:rsidP="002453B2">
            <w:pPr>
              <w:jc w:val="both"/>
            </w:pPr>
            <w:r w:rsidRPr="008E4850">
              <w:t>Разное</w:t>
            </w:r>
          </w:p>
        </w:tc>
        <w:tc>
          <w:tcPr>
            <w:tcW w:w="913" w:type="pct"/>
            <w:shd w:val="clear" w:color="auto" w:fill="auto"/>
          </w:tcPr>
          <w:p w:rsidR="00295E8D" w:rsidRPr="008E4850" w:rsidRDefault="00295E8D" w:rsidP="002453B2"/>
        </w:tc>
        <w:tc>
          <w:tcPr>
            <w:tcW w:w="911" w:type="pct"/>
            <w:shd w:val="clear" w:color="auto" w:fill="auto"/>
          </w:tcPr>
          <w:p w:rsidR="00295E8D" w:rsidRPr="008E4850" w:rsidRDefault="00295E8D" w:rsidP="002453B2"/>
        </w:tc>
      </w:tr>
    </w:tbl>
    <w:p w:rsidR="00295E8D" w:rsidRDefault="00295E8D" w:rsidP="00295E8D">
      <w:pPr>
        <w:rPr>
          <w:i/>
        </w:rPr>
      </w:pPr>
    </w:p>
    <w:p w:rsidR="00295E8D" w:rsidRPr="00273DBC" w:rsidRDefault="00295E8D" w:rsidP="00295E8D">
      <w:pPr>
        <w:pStyle w:val="a3"/>
        <w:spacing w:before="0" w:beforeAutospacing="0" w:after="0" w:afterAutospacing="0"/>
        <w:jc w:val="right"/>
        <w:rPr>
          <w:b/>
          <w:color w:val="000000"/>
        </w:rPr>
      </w:pPr>
      <w:r w:rsidRPr="00273DBC">
        <w:rPr>
          <w:b/>
          <w:color w:val="000000"/>
        </w:rPr>
        <w:lastRenderedPageBreak/>
        <w:t>Отдел по взаимодействию со СМИ МГСД</w:t>
      </w:r>
    </w:p>
    <w:p w:rsidR="00295E8D" w:rsidRPr="00273DBC" w:rsidRDefault="00295E8D" w:rsidP="00295E8D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73DBC">
        <w:rPr>
          <w:color w:val="000000"/>
        </w:rPr>
        <w:t>www.sobranie74.ru,</w:t>
      </w:r>
    </w:p>
    <w:p w:rsidR="00295E8D" w:rsidRPr="00273DBC" w:rsidRDefault="00295E8D" w:rsidP="00295E8D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73DBC">
        <w:rPr>
          <w:color w:val="000000"/>
        </w:rPr>
        <w:t>тел. 27-87-96</w:t>
      </w:r>
    </w:p>
    <w:p w:rsidR="00295E8D" w:rsidRPr="00273DBC" w:rsidRDefault="00295E8D" w:rsidP="00295E8D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295E8D" w:rsidRPr="00273DBC" w:rsidRDefault="00295E8D" w:rsidP="00295E8D">
      <w:pPr>
        <w:pStyle w:val="a3"/>
        <w:spacing w:before="0" w:beforeAutospacing="0" w:after="0" w:afterAutospacing="0"/>
        <w:jc w:val="right"/>
        <w:rPr>
          <w:b/>
          <w:color w:val="000000"/>
        </w:rPr>
      </w:pPr>
      <w:r w:rsidRPr="00273DBC">
        <w:rPr>
          <w:b/>
          <w:color w:val="000000"/>
        </w:rPr>
        <w:t>Наши странички в социальных сетях:</w:t>
      </w:r>
    </w:p>
    <w:p w:rsidR="00295E8D" w:rsidRPr="00273DBC" w:rsidRDefault="00295E8D" w:rsidP="00295E8D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73DBC">
        <w:rPr>
          <w:color w:val="000000"/>
        </w:rPr>
        <w:t xml:space="preserve">«В Контакте» / </w:t>
      </w:r>
      <w:proofErr w:type="spellStart"/>
      <w:r w:rsidRPr="00273DBC">
        <w:rPr>
          <w:color w:val="000000"/>
        </w:rPr>
        <w:t>sobraniemagnitki</w:t>
      </w:r>
      <w:proofErr w:type="spellEnd"/>
    </w:p>
    <w:p w:rsidR="00295E8D" w:rsidRPr="00273DBC" w:rsidRDefault="00295E8D" w:rsidP="00295E8D">
      <w:pPr>
        <w:pStyle w:val="a3"/>
        <w:spacing w:before="0" w:beforeAutospacing="0" w:after="0" w:afterAutospacing="0"/>
        <w:jc w:val="right"/>
        <w:rPr>
          <w:color w:val="000000"/>
        </w:rPr>
      </w:pPr>
      <w:r w:rsidRPr="00273DBC">
        <w:rPr>
          <w:color w:val="000000"/>
        </w:rPr>
        <w:t>«Одноклассники» /</w:t>
      </w:r>
      <w:proofErr w:type="spellStart"/>
      <w:r w:rsidRPr="00273DBC">
        <w:rPr>
          <w:color w:val="000000"/>
        </w:rPr>
        <w:t>gorodskoe.sobranie</w:t>
      </w:r>
      <w:proofErr w:type="spellEnd"/>
    </w:p>
    <w:p w:rsidR="00295E8D" w:rsidRPr="00273DBC" w:rsidRDefault="00295E8D" w:rsidP="00295E8D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spellStart"/>
      <w:r w:rsidRPr="00273DBC">
        <w:rPr>
          <w:color w:val="000000"/>
        </w:rPr>
        <w:t>Telegram</w:t>
      </w:r>
      <w:proofErr w:type="spellEnd"/>
      <w:r w:rsidRPr="00273DBC">
        <w:rPr>
          <w:color w:val="000000"/>
        </w:rPr>
        <w:t xml:space="preserve">/ </w:t>
      </w:r>
      <w:proofErr w:type="spellStart"/>
      <w:r w:rsidRPr="00273DBC">
        <w:rPr>
          <w:color w:val="000000"/>
        </w:rPr>
        <w:t>t.me</w:t>
      </w:r>
      <w:proofErr w:type="spellEnd"/>
      <w:r w:rsidRPr="00273DBC">
        <w:rPr>
          <w:color w:val="000000"/>
        </w:rPr>
        <w:t>/</w:t>
      </w:r>
      <w:proofErr w:type="spellStart"/>
      <w:r w:rsidRPr="00273DBC">
        <w:rPr>
          <w:color w:val="000000"/>
        </w:rPr>
        <w:t>mgsd_mgn</w:t>
      </w:r>
      <w:proofErr w:type="spellEnd"/>
    </w:p>
    <w:p w:rsidR="0086346C" w:rsidRDefault="0086346C"/>
    <w:sectPr w:rsidR="0086346C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32C0C"/>
    <w:multiLevelType w:val="hybridMultilevel"/>
    <w:tmpl w:val="2A0687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E8D"/>
    <w:rsid w:val="002156E1"/>
    <w:rsid w:val="00295E8D"/>
    <w:rsid w:val="002D4DE1"/>
    <w:rsid w:val="003D2324"/>
    <w:rsid w:val="00646A99"/>
    <w:rsid w:val="006A483A"/>
    <w:rsid w:val="00765539"/>
    <w:rsid w:val="00766099"/>
    <w:rsid w:val="0086346C"/>
    <w:rsid w:val="009612E9"/>
    <w:rsid w:val="009851C0"/>
    <w:rsid w:val="00A3664B"/>
    <w:rsid w:val="00CD0507"/>
    <w:rsid w:val="00FB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5E8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5E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95E8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295E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3110</Words>
  <Characters>17733</Characters>
  <Application>Microsoft Office Word</Application>
  <DocSecurity>0</DocSecurity>
  <Lines>147</Lines>
  <Paragraphs>41</Paragraphs>
  <ScaleCrop>false</ScaleCrop>
  <Company>Microsoft</Company>
  <LinksUpToDate>false</LinksUpToDate>
  <CharactersWithSpaces>20802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2022-11-29T04:09:00Z</dcterms:created>
  <dcterms:modified xsi:type="dcterms:W3CDTF">2022-11-29T04:11:00Z</dcterms:modified>
</cp:coreProperties>
</file>